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45aa31d2f47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5244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5244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5244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O'Ban, Hobbs, Takko, and Wilson</w:t>
      </w:r>
    </w:p>
    <w:p/>
    <w:p>
      <w:r>
        <w:rPr>
          <w:t xml:space="preserve">Read first time 01/18/17.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means of communication between a buyer or lessee and an auto dealer during the "bushing" period; and amending RCW 46.70.180.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2012 c 74 s 8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one hundred fifty dollars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 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one hundred fifty dollars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w:t>
      </w:r>
      <w:r>
        <w:rPr>
          <w:u w:val="single"/>
        </w:rPr>
        <w:t xml:space="preserve">the "bushing" period, which is</w:t>
      </w:r>
      <w:r>
        <w:rPr/>
        <w:t xml:space="preserve">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t>((</w:t>
      </w:r>
      <w:r>
        <w:rPr>
          <w:strike/>
        </w:rPr>
        <w:t xml:space="preserve">When</w:t>
      </w:r>
      <w:r>
        <w:t>))</w:t>
      </w:r>
      <w:r>
        <w:rPr/>
        <w:t xml:space="preserve"> </w:t>
      </w:r>
      <w:r>
        <w:rPr>
          <w:u w:val="single"/>
        </w:rPr>
        <w:t xml:space="preserve">A</w:t>
      </w:r>
      <w:r>
        <w:rPr/>
        <w:t xml:space="preserve"> dealer </w:t>
      </w:r>
      <w:r>
        <w:rPr>
          <w:u w:val="single"/>
        </w:rPr>
        <w:t xml:space="preserve">may</w:t>
      </w:r>
      <w:r>
        <w:rPr/>
        <w:t xml:space="preserve"> inform</w:t>
      </w:r>
      <w:r>
        <w:t>((</w:t>
      </w:r>
      <w:r>
        <w:rPr>
          <w:strike/>
        </w:rPr>
        <w:t xml:space="preserve">s</w:t>
      </w:r>
      <w:r>
        <w:t>))</w:t>
      </w:r>
      <w:r>
        <w:rPr/>
        <w:t xml:space="preserve"> a buyer or lessee under this subsection (4)(a) regarding the unconditional acceptance or rejection of the contract, lease, or financing </w:t>
      </w:r>
      <w:r>
        <w:t>((</w:t>
      </w:r>
      <w:r>
        <w:rPr>
          <w:strike/>
        </w:rPr>
        <w:t xml:space="preserve">by an electronic mail message, the dealer must also transmit the communication by any additional means</w:t>
      </w:r>
      <w:r>
        <w:t>))</w:t>
      </w:r>
      <w:r>
        <w:rPr/>
        <w:t xml:space="preserve"> </w:t>
      </w:r>
      <w:r>
        <w:rPr>
          <w:u w:val="single"/>
        </w:rPr>
        <w:t xml:space="preserve">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r>
        <w:rPr/>
        <w:t xml:space="preserve">;</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five hundred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To provide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one thousand dollars,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
      <w:pPr>
        <w:jc w:val="center"/>
      </w:pPr>
      <w:r>
        <w:rPr>
          <w:b/>
        </w:rPr>
        <w:t>--- END ---</w:t>
      </w:r>
    </w:p>
    <w:sectPr>
      <w:pgNumType w:start="1"/>
      <w:footerReference xmlns:r="http://schemas.openxmlformats.org/officeDocument/2006/relationships" r:id="Rc4eb8f33b2b84d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4ed784f1e465a" /><Relationship Type="http://schemas.openxmlformats.org/officeDocument/2006/relationships/footer" Target="/word/footer.xml" Id="Rc4eb8f33b2b84dc7" /></Relationships>
</file>