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2b1dd54b248d4" /></Relationships>
</file>

<file path=word/document.xml><?xml version="1.0" encoding="utf-8"?>
<w:document xmlns:w="http://schemas.openxmlformats.org/wordprocessingml/2006/main">
  <w:body>
    <w:p>
      <w:r>
        <w:t>S-2820.1</w:t>
      </w:r>
    </w:p>
    <w:p>
      <w:pPr>
        <w:jc w:val="center"/>
      </w:pPr>
      <w:r>
        <w:t>_______________________________________________</w:t>
      </w:r>
    </w:p>
    <w:p/>
    <w:p>
      <w:pPr>
        <w:jc w:val="center"/>
      </w:pPr>
      <w:r>
        <w:rPr>
          <w:b/>
        </w:rPr>
        <w:t>SENATE CONCURRENT RESOLUTION 8405</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Senators Schoesler and Nelson</w:t>
      </w:r>
    </w:p>
    <w:p/>
    <w:p/>
    <w:p>
      <w:r>
        <w:br/>
      </w:r>
    </w:p>
    <w:p>
      <w:pPr>
        <w:spacing w:before="0" w:after="0" w:line="408" w:lineRule="exact"/>
        <w:ind w:left="0" w:right="0" w:firstLine="576"/>
        <w:jc w:val="left"/>
      </w:pPr>
      <w:r>
        <w:rPr/>
        <w:t xml:space="preserve">WHEREAS, Bills, joint resolutions, joint memorials, and concurrent resolutions introduced at the 2017 regular session and first special session of the Sixty-fifth Legislature may require that they be considered at the 2017 second special session of the Sixty-fifth Legislature; and</w:t>
      </w:r>
    </w:p>
    <w:p>
      <w:pPr>
        <w:spacing w:before="0" w:after="0" w:line="408" w:lineRule="exact"/>
        <w:ind w:left="0" w:right="0" w:firstLine="576"/>
        <w:jc w:val="left"/>
      </w:pPr>
      <w:r>
        <w:rPr/>
        <w:t xml:space="preserve">WHEREAS, The public interest requires that the business of the 2017 second special session of the Sixty-fifth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2017 regular session and first special session of the Sixty-fifth Legislature are reintroduced in the house in which they originated and shall retain the same number and be given the highest legislative status that they attained in the original house as shown by the official House and Senate dockets upon the adjournment SINE DIE of the first special session.</w:t>
      </w:r>
    </w:p>
    <w:sectPr>
      <w:pgNumType w:start="1"/>
      <w:footerReference xmlns:r="http://schemas.openxmlformats.org/officeDocument/2006/relationships" r:id="R72f33b59b24b487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b33c5c48db4f86" /><Relationship Type="http://schemas.openxmlformats.org/officeDocument/2006/relationships/footer" Target="/word/footer.xml" Id="R72f33b59b24b4877" /></Relationships>
</file>