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ee1189e7b4c3b" /></Relationships>
</file>

<file path=word/document.xml><?xml version="1.0" encoding="utf-8"?>
<w:document xmlns:w="http://schemas.openxmlformats.org/wordprocessingml/2006/main">
  <w:body>
    <w:p>
      <w:r>
        <w:t>S-3965.1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6624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Palumbo and Rolfes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adoption of dogs and cats used for science or research purposes; and adding a new section to chapter 16.52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16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higher education research facility that receives public money, including tax exempt status, or a facility that provides research in collaboration with a higher education facility that confines dogs or cats for science or research purposes and plans on destroying a dog or cat used for science or research purposes, must first offer the dog or cat to an animal rescue organization. A facility that is required to offer dogs or cats to an animal rescue organization under this section may enter into an agreement with the animal rescue organization to facilitate adoptions.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"animal rescue organization" means any nonprofit organization incorporated for the purpose of rescuing animals in need and finding permanent adoptive homes for the animals.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fec0cf642264bf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6624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987ac21d64210" /><Relationship Type="http://schemas.openxmlformats.org/officeDocument/2006/relationships/footer" Target="/word/footer.xml" Id="Rdfec0cf642264bf5" /></Relationships>
</file>