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4adf5e45c64611" /></Relationships>
</file>

<file path=word/document.xml><?xml version="1.0" encoding="utf-8"?>
<w:document xmlns:w="http://schemas.openxmlformats.org/wordprocessingml/2006/main">
  <w:body>
    <w:p>
      <w:r>
        <w:t>S-5433.5</w:t>
      </w:r>
    </w:p>
    <w:p>
      <w:pPr>
        <w:jc w:val="center"/>
      </w:pPr>
      <w:r>
        <w:t>_______________________________________________</w:t>
      </w:r>
    </w:p>
    <w:p/>
    <w:p>
      <w:pPr>
        <w:jc w:val="center"/>
      </w:pPr>
      <w:r>
        <w:rPr>
          <w:b/>
        </w:rPr>
        <w:t>SUBSTITUTE SENATE BILL 6614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Mullet, Rolfes, Dhingra, and Frockt)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for the support of common schools; amending RCW 84.52.065, 84.56.020, 84.52.080, and 43.79.496; adding a new section to chapter 84.56 RCW; creating a new section; making an appropriation;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2017 3rd sp.s. c 13 s 301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w:t>
      </w:r>
      <w:r>
        <w:t>((</w:t>
      </w:r>
      <w:r>
        <w:rPr>
          <w:strike/>
        </w:rPr>
        <w:t xml:space="preserve">shall</w:t>
      </w:r>
      <w:r>
        <w:t>))</w:t>
      </w:r>
      <w:r>
        <w:rPr/>
        <w:t xml:space="preserve"> </w:t>
      </w:r>
      <w:r>
        <w:rPr>
          <w:u w:val="single"/>
        </w:rPr>
        <w:t xml:space="preserve">must</w:t>
      </w:r>
      <w:r>
        <w:rPr/>
        <w:t xml:space="preserve">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w:t>
      </w:r>
      <w:r>
        <w:rPr>
          <w:u w:val="single"/>
        </w:rPr>
        <w:t xml:space="preserve">For taxes levied for collection in calendar year 2018, the rate of tax is the rate necessary to bring the aggregate rate for state property tax levies levied under this subsection and subsection (1) of this section to a combined rate of two dollars and thirty-five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u w:val="single"/>
        </w:rPr>
        <w:t xml:space="preserve">(ii)</w:t>
      </w:r>
      <w:r>
        <w:rPr/>
        <w:t xml:space="preserve"> For taxes levied for collection in calendar years </w:t>
      </w:r>
      <w:r>
        <w:t>((</w:t>
      </w:r>
      <w:r>
        <w:rPr>
          <w:strike/>
        </w:rPr>
        <w:t xml:space="preserve">2018</w:t>
      </w:r>
      <w:r>
        <w:t>))</w:t>
      </w:r>
      <w:r>
        <w:rPr/>
        <w:t xml:space="preserve"> </w:t>
      </w:r>
      <w:r>
        <w:rPr>
          <w:u w:val="single"/>
        </w:rPr>
        <w:t xml:space="preserve">2019</w:t>
      </w:r>
      <w:r>
        <w:rPr/>
        <w:t xml:space="preserve"> through 2021, the rate of tax is the rate necessary to bring the aggregate rate for state property tax levies levied under this subsection and subsection (1) of this section to a combined rate of two dollars and seventy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 Taxes collected under this subsection (2) must be deposited into the state general fund.</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2017 c 142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w:t>
      </w:r>
      <w:r>
        <w:rPr>
          <w:u w:val="single"/>
        </w:rPr>
        <w:t xml:space="preserve">or more</w:t>
      </w:r>
      <w:r>
        <w:rPr/>
        <w:t xml:space="preserve">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(12)(b) of this section or a partial payment program pursuant to subsection (13)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All collections of interest on delinquent taxes must be credited to the county current expense fund.</w:t>
      </w:r>
    </w:p>
    <w:p>
      <w:pPr>
        <w:spacing w:before="0" w:after="0" w:line="408" w:lineRule="exact"/>
        <w:ind w:left="0" w:right="0" w:firstLine="576"/>
        <w:jc w:val="left"/>
      </w:pPr>
      <w:r>
        <w:rPr/>
        <w:t xml:space="preserve">(10) For purposes of this chapter, "interest" means both interest and penalties.</w:t>
      </w:r>
    </w:p>
    <w:p>
      <w:pPr>
        <w:spacing w:before="0" w:after="0" w:line="408" w:lineRule="exact"/>
        <w:ind w:left="0" w:right="0" w:firstLine="576"/>
        <w:jc w:val="left"/>
      </w:pPr>
      <w:r>
        <w:rPr/>
        <w:t xml:space="preserve">(11)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rPr/>
        <w:t xml:space="preserve">(12)(a)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may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and penalties using electronic bill presentment and payments.</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transfers on a monthly basis. Delinquent taxes are subject to interest and penalties,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t xml:space="preserve">(13) In addition to the payment program in subsection (12)(b) of this section, the treasurer may accept partial payment of current and delinquent taxes including interest and penalties by any means authorized.</w:t>
      </w:r>
    </w:p>
    <w:p>
      <w:pPr>
        <w:spacing w:before="0" w:after="0" w:line="408" w:lineRule="exact"/>
        <w:ind w:left="0" w:right="0" w:firstLine="576"/>
        <w:jc w:val="left"/>
      </w:pPr>
      <w:r>
        <w:rPr/>
        <w:t xml:space="preserve">(14) For purposes of this section unless the context clearly requires otherwise, the following definitions apply:</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By no later than March 30, 2018, the department must certify to county assessors the revised amounts that each county must collect in 2018 for the additional state property tax in RCW 84.52.065(2).</w:t>
      </w:r>
    </w:p>
    <w:p>
      <w:pPr>
        <w:spacing w:before="0" w:after="0" w:line="408" w:lineRule="exact"/>
        <w:ind w:left="0" w:right="0" w:firstLine="576"/>
        <w:jc w:val="left"/>
      </w:pPr>
      <w:r>
        <w:rPr/>
        <w:t xml:space="preserve">(2) The county treasurer must prepare revised tax statements to be distributed to taxpayers by no later than September 15,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080</w:t>
      </w:r>
      <w:r>
        <w:rPr/>
        <w:t xml:space="preserve"> and 2010 c 106 s 314 are each amended to read as follows:</w:t>
      </w:r>
    </w:p>
    <w:p>
      <w:pPr>
        <w:spacing w:before="0" w:after="0" w:line="408" w:lineRule="exact"/>
        <w:ind w:left="0" w:right="0" w:firstLine="576"/>
        <w:jc w:val="left"/>
      </w:pPr>
      <w:r>
        <w:rPr/>
        <w:t xml:space="preserve">(1) The county assessor must extend the taxes upon the tax rolls in the form prescribed in this section. The rate percent necessary to raise the amounts of taxes levied for state and county purposes, and for purposes of taxing districts coextensive with the county, must be computed upon the assessed value of the property of the county. The rate percent necessary to raise the amount of taxes levied for any taxing district within the county must be computed upon the assessed value of the property of the district. All taxes assessed against any property must be added together and extended on the rolls in a column headed consolidated or total tax. In extending any tax, whenever the tax amounts to a fractional part of a cent greater than one-half of a cent it must be rounded up to one cent, and whenever it amounts to one-half of a cent or less it must be dropped. The amount of all taxes must be entered in the proper columns, as shown by entering the rate percent necessary to raise the consolidated or total tax and the total tax assessed against the property.</w:t>
      </w:r>
    </w:p>
    <w:p>
      <w:pPr>
        <w:spacing w:before="0" w:after="0" w:line="408" w:lineRule="exact"/>
        <w:ind w:left="0" w:right="0" w:firstLine="576"/>
        <w:jc w:val="left"/>
      </w:pPr>
      <w:r>
        <w:rPr/>
        <w:t xml:space="preserve">(2) For the purpose of computing the rate necessary to raise the amount of any excess levy in a taxing district entitled to a distribution under RCW 84.33.081, other than the state, the county assessor must add the district's timber assessed value, as defined in RCW 84.33.035, to the assessed value of the property. However, for school districts maintenance and operations levies, only one-half of the district's timber assessed value or eighty percent of the timber roll of the district in calendar year 1983 as determined under chapter 84.33 RCW, whichever is greater, must be added to the assessed value of the property.</w:t>
      </w:r>
    </w:p>
    <w:p>
      <w:pPr>
        <w:spacing w:before="0" w:after="0" w:line="408" w:lineRule="exact"/>
        <w:ind w:left="0" w:right="0" w:firstLine="576"/>
        <w:jc w:val="left"/>
      </w:pPr>
      <w:r>
        <w:rPr/>
        <w:t xml:space="preserve">(3) Upon the completion of such tax extension, it is the duty of the county assessor to make in each assessment book, tax roll or list a certificate in the following form:</w:t>
      </w:r>
    </w:p>
    <w:tbl>
      <w:tblPr>
        <w:tblW w:w="0" w:type="auto"/>
        <w:jc w:val="center"/>
        <w:tcMar>
          <w:tblCellMar>
            <w:top w:w="0" w:type="dxa"/>
            <w:bottom w:w="0" w:type="dxa"/>
          </w:tblCellMar>
        </w:tcMar>
        <w:tcMar>
          <w:tblCellMar>
            <w:left w:w="70" w:type="dxa"/>
            <w:right w:w="70" w:type="dxa"/>
          </w:tblCellMar>
        </w:tcMar>
      </w:tblPr>
      <w:tblGrid>
        <w:gridCol w:w="2080"/>
        <w:gridCol w:w="278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 . . . . . ., assessor of . . . . . . county, state of Washington, do hereby certify that the foregoing is a correct list of taxes levied on the real and personal property in the county of . . . . . . for the year two thousand . . . . . .</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Witness my hand this . . . . day of . . . . . ., 20. . .</w:t>
            </w:r>
          </w:p>
        </w:tc>
      </w:tr>
      <w:tr>
        <w:tc>
          <w:tcPr>
            <w:tcW w:w="2080" w:type="dxa"/>
            <w:vAlign w:val="top"/>
          </w:tcPr>
          <w:p>
            <w:pPr>
              <w:spacing w:before="0" w:after="0" w:line="408" w:lineRule="exact"/>
              <w:ind w:left="0" w:right="0" w:firstLine="0"/>
              <w:jc w:val="left"/>
            </w:pPr>
          </w:p>
        </w:tc>
        <w:tc>
          <w:tcPr>
            <w:tcW w:w="2780" w:type="dxa"/>
            <w:vAlign w:val="top"/>
          </w:tcPr>
          <w:p>
            <w:pPr>
              <w:tabs>
                <w:tab w:val="right" w:leader="dot" w:pos="2768"/>
              </w:tabs>
              <w:spacing w:before="0" w:after="0" w:line="408" w:lineRule="exact"/>
              <w:ind w:left="0" w:right="0" w:firstLine="0"/>
              <w:jc w:val="left"/>
            </w:pPr>
            <w:r>
              <w:tab/>
            </w:r>
            <w:r>
              <w:rPr>
                <w:rFonts w:ascii="Times New Roman" w:hAnsi="Times New Roman"/>
                <w:sz w:val="20"/>
              </w:rPr>
              <w:t xml:space="preserve">, County Assessor</w:t>
            </w:r>
          </w:p>
        </w:tc>
      </w:tr>
    </w:tbl>
    <w:p>
      <w:pPr>
        <w:spacing w:before="120" w:after="0" w:line="408" w:lineRule="exact"/>
        <w:ind w:left="0" w:right="0" w:firstLine="576"/>
        <w:jc w:val="left"/>
      </w:pPr>
      <w:r>
        <w:rPr/>
        <w:t xml:space="preserve">(4) The county assessor must deliver the tax rolls to the county treasurer, on or before the fifteenth day of January, taking a receipt from the treasurer. At the same time, the county assessor must provide the county auditor with an abstract of the tax rolls showing the total amount of taxes collectible in each of the taxing districts.</w:t>
      </w:r>
    </w:p>
    <w:p>
      <w:pPr>
        <w:spacing w:before="0" w:after="0" w:line="408" w:lineRule="exact"/>
        <w:ind w:left="0" w:right="0" w:firstLine="576"/>
        <w:jc w:val="left"/>
      </w:pPr>
      <w:r>
        <w:rPr>
          <w:u w:val="single"/>
        </w:rPr>
        <w:t xml:space="preserve">(5) For 2018 only, the county assessor must deliver revised tax rolls to the county treasurer, on or before June 15, 2018, to reflect the necessary changes to the additional state property tax levy in RCW 84.52.065(2).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496</w:t>
      </w:r>
      <w:r>
        <w:rPr/>
        <w:t xml:space="preserve"> and 2017 3rd sp.s. c 29 s 5 are each amended to read as follows:</w:t>
      </w:r>
    </w:p>
    <w:p>
      <w:pPr>
        <w:spacing w:before="0" w:after="0" w:line="408" w:lineRule="exact"/>
        <w:ind w:left="0" w:right="0" w:firstLine="576"/>
        <w:jc w:val="left"/>
      </w:pPr>
      <w:r>
        <w:rPr/>
        <w:t xml:space="preserve">(1) By June 30, 2015, the treasurer </w:t>
      </w:r>
      <w:r>
        <w:t>((</w:t>
      </w:r>
      <w:r>
        <w:rPr>
          <w:strike/>
        </w:rPr>
        <w:t xml:space="preserve">shall</w:t>
      </w:r>
      <w:r>
        <w:t>))</w:t>
      </w:r>
      <w:r>
        <w:rPr/>
        <w:t xml:space="preserve"> </w:t>
      </w:r>
      <w:r>
        <w:rPr>
          <w:u w:val="single"/>
        </w:rPr>
        <w:t xml:space="preserve">must</w:t>
      </w:r>
      <w:r>
        <w:rPr/>
        <w:t xml:space="preserve"> transfer into the state general fund the entire budget stabilization account deposit for the 2013-2015 fiscal biennium that is attributable to extraordinary revenue growth, not to exceed fifty million dollars.</w:t>
      </w:r>
    </w:p>
    <w:p>
      <w:pPr>
        <w:spacing w:before="0" w:after="0" w:line="408" w:lineRule="exact"/>
        <w:ind w:left="0" w:right="0" w:firstLine="576"/>
        <w:jc w:val="left"/>
      </w:pPr>
      <w:r>
        <w:rPr/>
        <w:t xml:space="preserve">(2) During the 2017-2019 fiscal biennium, the treasurer </w:t>
      </w:r>
      <w:r>
        <w:t>((</w:t>
      </w:r>
      <w:r>
        <w:rPr>
          <w:strike/>
        </w:rPr>
        <w:t xml:space="preserve">shall</w:t>
      </w:r>
      <w:r>
        <w:t>))</w:t>
      </w:r>
      <w:r>
        <w:rPr/>
        <w:t xml:space="preserve"> </w:t>
      </w:r>
      <w:r>
        <w:rPr>
          <w:u w:val="single"/>
        </w:rPr>
        <w:t xml:space="preserve">must</w:t>
      </w:r>
      <w:r>
        <w:rPr/>
        <w:t xml:space="preserve"> transfer into the state general fund the entire budget stabilization account deposit for the 2017-2019 fiscal biennium that is attributable to extraordinary revenue growth, not to exceed one billion seventy-eight million dollars.</w:t>
      </w:r>
    </w:p>
    <w:p>
      <w:pPr>
        <w:spacing w:before="0" w:after="0" w:line="408" w:lineRule="exact"/>
        <w:ind w:left="0" w:right="0" w:firstLine="576"/>
        <w:jc w:val="left"/>
      </w:pPr>
      <w:r>
        <w:rPr/>
        <w:t xml:space="preserve">(3) </w:t>
      </w:r>
      <w:r>
        <w:rPr>
          <w:u w:val="single"/>
        </w:rPr>
        <w:t xml:space="preserve">In addition to the transfer under subsection (2) of this section, the treasurer must transfer into the state general fund from the budget stabilization account the sum of two hundred twenty-eight million dollars on July 1, 2018, and the sum of two hundred three million dollars on July 1, 2019. The moneys transferred into the general fund must be used for the support of common schools.</w:t>
      </w:r>
    </w:p>
    <w:p>
      <w:pPr>
        <w:spacing w:before="0" w:after="0" w:line="408" w:lineRule="exact"/>
        <w:ind w:left="0" w:right="0" w:firstLine="576"/>
        <w:jc w:val="left"/>
      </w:pPr>
      <w:r>
        <w:rPr>
          <w:u w:val="single"/>
        </w:rPr>
        <w:t xml:space="preserve">(4)</w:t>
      </w:r>
      <w:r>
        <w:rPr/>
        <w:t xml:space="preserve"> For purposes of RCW 43.88.055(4), the transfers in this section do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five million dollars, or as much thereof as may be necessary, is appropriated for the biennium ending June 30, 2019, from the general fund to the department of revenue for the purposes of assisting counties with any printing or postage costs and information technology updates or changes made necessary as a result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both prospectively and retroactively to January 1, 2018. However, this act does not authorize refunds of state property taxes levied for collection in 2018 and validly collected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66e8db5b4384a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312a0a1cd4c4d" /><Relationship Type="http://schemas.openxmlformats.org/officeDocument/2006/relationships/footer" Target="/word/footer.xml" Id="R966e8db5b4384a3a" /></Relationships>
</file>