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be21067a3e4038" /></Relationships>
</file>

<file path=word/document.xml><?xml version="1.0" encoding="utf-8"?>
<w:document xmlns:w="http://schemas.openxmlformats.org/wordprocessingml/2006/main">
  <w:body>
    <w:p>
      <w:r>
        <w:t>S-4437.2</w:t>
      </w:r>
    </w:p>
    <w:p>
      <w:pPr>
        <w:jc w:val="center"/>
      </w:pPr>
      <w:r>
        <w:t>_______________________________________________</w:t>
      </w:r>
    </w:p>
    <w:p/>
    <w:p>
      <w:pPr>
        <w:jc w:val="center"/>
      </w:pPr>
      <w:r>
        <w:rPr>
          <w:b/>
        </w:rPr>
        <w:t>SENATE BILL 6591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Becker</w:t>
      </w:r>
    </w:p>
    <w:p/>
    <w:p>
      <w:r>
        <w:rPr>
          <w:t xml:space="preserve">Read first time 02/01/18.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regionalization factors; and amending RCW 28A.150.412.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2017 3rd sp.s. c 13 s 104 are each amended to read as follows:</w:t>
      </w:r>
    </w:p>
    <w:p>
      <w:pPr>
        <w:spacing w:before="0" w:after="0" w:line="408" w:lineRule="exact"/>
        <w:ind w:left="0" w:right="0" w:firstLine="576"/>
        <w:jc w:val="left"/>
      </w:pPr>
      <w:r>
        <w:rPr/>
        <w:t xml:space="preserve">(1) Beginning with the 2023 regular legislative session, and every six years thereafter, the legislature shall review and rebase state basic education compensation allocations compared to school district compensation data, regionalization factors, and other economic information. The legislature shall revise the minimum allocations and regionalization factors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u w:val="single"/>
        </w:rPr>
        <w:t xml:space="preserve">(c) Notwithstanding (a) of this subsection (2), the regionalization factor f</w:t>
      </w:r>
      <w:r>
        <w:rPr>
          <w:u w:val="single"/>
        </w:rPr>
        <w:t xml:space="preserve">or the Bethel, Eatonville, Rainier, and Yelm school districts is six percent.</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six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
      <w:pPr>
        <w:jc w:val="center"/>
      </w:pPr>
      <w:r>
        <w:rPr>
          <w:b/>
        </w:rPr>
        <w:t>--- END ---</w:t>
      </w:r>
    </w:p>
    <w:sectPr>
      <w:pgNumType w:start="1"/>
      <w:footerReference xmlns:r="http://schemas.openxmlformats.org/officeDocument/2006/relationships" r:id="R02087d496f224a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255cb42e06443f" /><Relationship Type="http://schemas.openxmlformats.org/officeDocument/2006/relationships/footer" Target="/word/footer.xml" Id="R02087d496f224ab4" /></Relationships>
</file>