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b22f00132748ec" /></Relationships>
</file>

<file path=word/document.xml><?xml version="1.0" encoding="utf-8"?>
<w:document xmlns:w="http://schemas.openxmlformats.org/wordprocessingml/2006/main">
  <w:body>
    <w:p>
      <w:r>
        <w:t>S-4709.1</w:t>
      </w:r>
    </w:p>
    <w:p>
      <w:pPr>
        <w:jc w:val="center"/>
      </w:pPr>
      <w:r>
        <w:t>_______________________________________________</w:t>
      </w:r>
    </w:p>
    <w:p/>
    <w:p>
      <w:pPr>
        <w:jc w:val="center"/>
      </w:pPr>
      <w:r>
        <w:rPr>
          <w:b/>
        </w:rPr>
        <w:t>SUBSTITUTE SENATE BILL 6587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Hasegawa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transparency of local taxing districts; adding a new section to chapter 87.03 RCW; adding a new section to chapter 35.58 RCW; adding a new section to chapter 54.04 RCW; adding a new section to chapter 85.08 RCW; adding a new section to chapter 36.58A RCW; adding a new section to chapter 36.58 RCW; adding a new section to chapter 36.95 RCW; adding a new section to chapter 57.02 RCW; and adding a new section to chapter 35.92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An irrigation district must disclose the following information in a prominent manner on all billing statements sent to customers: An itemized listing of all rates and charges, including the amount of state and local taxes collected and paid by the district, and whether taxes are collected on behalf of other political subdivisions. If an irrigation district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 metropolitan municipal corporation must disclose the following information in a prominent manner on all billing statements sent to customers: An itemized listing of all rates and charges, including the amount of state and local taxes collected and paid by the metropolitan municipal corporation, and whether taxes are collected on behalf of other political subdivisions. If a metropolitan municipal corporation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public utility district must disclose the following information in a prominent manner on all billing statements sent to customers: An itemized listing of all rates and charges, including the amount of state and local taxes collected and paid by the district, and whether taxes are collected on behalf of other political subdivisions. If a public utility district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85</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Diking, drainage, and sewer improvement districts must disclose the following information in a prominent manner on all billing statements sent to customers: An itemized listing of all rates and charges, including the amount of state and local taxes collected and paid by the district, and whether taxes are collected on behalf of other political subdivisions. If a district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58A</w:t>
      </w:r>
      <w:r>
        <w:rPr/>
        <w:t xml:space="preserve"> RCW</w:t>
      </w:r>
      <w:r>
        <w:rPr/>
        <w:t xml:space="preserve"> to read as follows:</w:t>
      </w:r>
    </w:p>
    <w:p>
      <w:pPr>
        <w:spacing w:before="0" w:after="0" w:line="408" w:lineRule="exact"/>
        <w:ind w:left="0" w:right="0" w:firstLine="576"/>
        <w:jc w:val="left"/>
      </w:pPr>
      <w:r>
        <w:rPr/>
        <w:t xml:space="preserve">Solid waste collection districts must disclose the following information in a prominent manner on all billing statements sent to customers: An itemized listing of all rates and charges, including the amount of state and local taxes collected and paid by the district, and whether taxes are collected on behalf of other political subdivisions. If a district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Solid waste disposal districts must disclose the following information in a prominent manner on all billing statements sent to customers: An itemized listing of all rates and charges, including the amount of state and local taxes collected and paid by the district, and whether taxes are collected on behalf of other political subdivisions. If a district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Television reception improvement districts must disclose the following information in a prominent manner on all billing statements sent to customers: An itemized listing of all rates and charges, including the amount of state and local taxes collected and paid by the district, and whether taxes are collected on behalf of other political subdivisions. If a district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Water-sewer districts must disclose the following information in a prominent manner on all billing statements sent to customers: An itemized listing of all rates and charges, including the amount of state and local taxes collected and paid by the district, and whether taxes are collected on behalf of other political subdivisions. If a district does not issue billing statements for any of the services it provides, it must make available rate and charge information for each such service upon request of any taxpayer within its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 city or town operating as a municipal utility under this chapter must disclose the following information in a prominent manner on all billing statements sent to customers: An itemized listing of all rates and charges, including the amount of state and local taxes collected and paid by the city or town, and whether taxes are collected on behalf of other political subdivisions. If a city or town does not issue billing statements for any of the services it provides, it must make available rate and charge information for each such service upon request of any taxpayer within its boundaries.</w:t>
      </w:r>
    </w:p>
    <w:p/>
    <w:p>
      <w:pPr>
        <w:jc w:val="center"/>
      </w:pPr>
      <w:r>
        <w:rPr>
          <w:b/>
        </w:rPr>
        <w:t>--- END ---</w:t>
      </w:r>
    </w:p>
    <w:sectPr>
      <w:pgNumType w:start="1"/>
      <w:footerReference xmlns:r="http://schemas.openxmlformats.org/officeDocument/2006/relationships" r:id="Rc3da8ed390354c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76e7185f5e4e30" /><Relationship Type="http://schemas.openxmlformats.org/officeDocument/2006/relationships/footer" Target="/word/footer.xml" Id="Rc3da8ed390354c8a" /></Relationships>
</file>