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b1573f8ad4157" /></Relationships>
</file>

<file path=word/document.xml><?xml version="1.0" encoding="utf-8"?>
<w:document xmlns:w="http://schemas.openxmlformats.org/wordprocessingml/2006/main">
  <w:body>
    <w:p>
      <w:r>
        <w:t>S-4194.1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6567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Hobbs, Miloscia, and Hunt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disclosure of records and reports for explosives; amending RCW 42.56.460; and adding a new section to chapter 70.74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74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All records obtained and all reports produced, as required by this chapter, are not subject to disclosure through the public records act under chapter 42.56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42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460</w:t>
      </w:r>
      <w:r>
        <w:rPr/>
        <w:t xml:space="preserve"> and 2005 c 274 s 426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All records obtained and all reports produced as required by state fireworks law, chapter 70.77 RCW, </w:t>
      </w:r>
      <w:r>
        <w:rPr>
          <w:u w:val="single"/>
        </w:rPr>
        <w:t xml:space="preserve">and the Washington state explosives act, chapter 70.74 RCW,</w:t>
      </w:r>
      <w:r>
        <w:rPr/>
        <w:t xml:space="preserve"> are exempt from disclosure under this chapter.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89ae75ffe1c469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6567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e254849f4df6" /><Relationship Type="http://schemas.openxmlformats.org/officeDocument/2006/relationships/footer" Target="/word/footer.xml" Id="R489ae75ffe1c469e" /></Relationships>
</file>