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71aed760ff4aea" /></Relationships>
</file>

<file path=word/document.xml><?xml version="1.0" encoding="utf-8"?>
<w:document xmlns:w="http://schemas.openxmlformats.org/wordprocessingml/2006/main">
  <w:body>
    <w:p>
      <w:r>
        <w:t>S-4517.2</w:t>
      </w:r>
    </w:p>
    <w:p>
      <w:pPr>
        <w:jc w:val="center"/>
      </w:pPr>
      <w:r>
        <w:t>_______________________________________________</w:t>
      </w:r>
    </w:p>
    <w:p/>
    <w:p>
      <w:pPr>
        <w:jc w:val="center"/>
      </w:pPr>
      <w:r>
        <w:rPr>
          <w:b/>
        </w:rPr>
        <w:t>SUBSTITUTE SENATE BILL 6419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Rolfes, Zeiger, Billig, Wellman, Conway, Darneille, Kuderer, Palumbo, and Walsh)</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access to the Washington early childhood education and assistance program; amending RCW 43.216.555;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demonstrate the efficacy of the state's early childhood education and assistance program, known as ECEAP. Studies in Washington and from other states show that ECEAP prepares children for kindergarten success and has significant positive impacts on third, fourth, and fifth grade test scores. The legislature also finds that in some areas of the state, expanding ECEAP has proven challenging because there are too few eligible children to form an ECEAP classroom. The result is that children who are income eligible and the furthest from opportunity remain unserved. The legislature finds further that in other ECEAP classrooms, funded seats remain empty because providers do not have sufficient flexibility to serve families in need who are slightly over income but often have similar risk factors. The legislature intends, therefore, to provide more flexibility in determining eligibility for ECEAP in order to maximize the state's investment and assure that program funding is deployed to serve the greatest number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adopt rules that allow the inclusion of children in the early childhood education and assistance program whose family income is above one hundred ten percent of the federal poverty level if the number of such children equals not more than twenty-five percent of total statewide enrollment.</w:t>
      </w:r>
    </w:p>
    <w:p>
      <w:pPr>
        <w:spacing w:before="0" w:after="0" w:line="408" w:lineRule="exact"/>
        <w:ind w:left="0" w:right="0" w:firstLine="576"/>
        <w:jc w:val="left"/>
      </w:pPr>
      <w:r>
        <w:rPr/>
        <w:t xml:space="preserve">(2) Children included in the early childhood education and assistance program under this section must be homeless or impacted by specific developmental or environmental risk factors that are linked by research to school performance.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Children included in the early childhood education and assistance program under this section are not to be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2015 3rd sp.s. c 7 s 11 are each amended to read as follows:</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t>((</w:t>
      </w:r>
      <w:r>
        <w:rPr>
          <w:strike/>
        </w:rPr>
        <w:t xml:space="preserve">43.215.456</w:t>
      </w:r>
      <w:r>
        <w:t>))</w:t>
      </w:r>
      <w:r>
        <w:rPr/>
        <w:t xml:space="preserve"> </w:t>
      </w:r>
      <w:r>
        <w:rPr>
          <w:u w:val="single"/>
        </w:rPr>
        <w:t xml:space="preserve">43.216.556</w:t>
      </w:r>
      <w:r>
        <w:rPr/>
        <w:t xml:space="preserve">.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w:t>
      </w:r>
      <w:r>
        <w:rPr>
          <w:u w:val="single"/>
        </w:rPr>
        <w:t xml:space="preserve">may allow enrollment of children included in the early childhood education and assistance program under section 2 of this act and</w:t>
      </w:r>
      <w:r>
        <w:rPr/>
        <w:t xml:space="preserve">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w:t>
      </w:r>
      <w:r>
        <w:rPr/>
        <w:t xml:space="preserve">.</w:t>
      </w:r>
    </w:p>
    <w:p>
      <w:pPr>
        <w:spacing w:before="0" w:after="0" w:line="408" w:lineRule="exact"/>
        <w:ind w:left="0" w:right="0" w:firstLine="576"/>
        <w:jc w:val="left"/>
      </w:pPr>
      <w:r>
        <w:rPr/>
        <w:t xml:space="preserve">(3)(a)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shall adopt rules for the following program components, as appropriate and necessary during the phased implementation of the program, consistent with early achievers program standards established in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w:t>
      </w:r>
      <w:r>
        <w:t>((</w:t>
      </w:r>
      <w:r>
        <w:rPr>
          <w:strike/>
        </w:rPr>
        <w:t xml:space="preserve">director</w:t>
      </w:r>
      <w:r>
        <w:t>))</w:t>
      </w:r>
      <w:r>
        <w:rPr/>
        <w:t xml:space="preserve"> </w:t>
      </w:r>
      <w:r>
        <w:rPr>
          <w:u w:val="single"/>
        </w:rPr>
        <w:t xml:space="preserve">secretary</w:t>
      </w:r>
      <w:r>
        <w:rPr/>
        <w:t xml:space="preserve">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f982a9adba244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c1bd4b6367495f" /><Relationship Type="http://schemas.openxmlformats.org/officeDocument/2006/relationships/footer" Target="/word/footer.xml" Id="Rdf982a9adba244d4" /></Relationships>
</file>