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0a1e43b6fd46a5" /></Relationships>
</file>

<file path=word/document.xml><?xml version="1.0" encoding="utf-8"?>
<w:document xmlns:w="http://schemas.openxmlformats.org/wordprocessingml/2006/main">
  <w:body>
    <w:p>
      <w:r>
        <w:t>S-3874.1</w:t>
      </w:r>
    </w:p>
    <w:p>
      <w:pPr>
        <w:jc w:val="center"/>
      </w:pPr>
      <w:r>
        <w:t>_______________________________________________</w:t>
      </w:r>
    </w:p>
    <w:p/>
    <w:p>
      <w:pPr>
        <w:jc w:val="center"/>
      </w:pPr>
      <w:r>
        <w:rPr>
          <w:b/>
        </w:rPr>
        <w:t>SENATE BILL 6416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Kuderer, Conway, Frockt, Hasegawa, and Rolfes</w:t>
      </w:r>
    </w:p>
    <w:p/>
    <w:p>
      <w:r>
        <w:rPr>
          <w:t xml:space="preserve">Read first time 01/17/18.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insurance commissioner to review a health carrier's surplus levels as part of its rate filing review process;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at a time of increasing uncertainty in the health insurance market, Washington patients are facing higher health care costs. The office of the insurance commissioner must be provided the necessary tools to assist in reducing health insurance premiums and out-of-pocket costs. The legislature further finds that by allowing the insurance commissioner to review health insurance carrier's surplus levels, the insurance commissioner will be better able to judge the reasonableness of a health carrier's rate 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individual and small group rate filings with an effective date on or after January 1, 2019, submitted by a nonprofit health carrier for either the individual or small group markets, the commissioner must review the carrier's surplus levels as an element in determining the reasonableness of the proposed rate.</w:t>
      </w:r>
    </w:p>
    <w:p>
      <w:pPr>
        <w:spacing w:before="0" w:after="0" w:line="408" w:lineRule="exact"/>
        <w:ind w:left="0" w:right="0" w:firstLine="576"/>
        <w:jc w:val="left"/>
      </w:pPr>
      <w:r>
        <w:rPr/>
        <w:t xml:space="preserve">(2) In reviewing the surplus, the commissioner must take into consideration the capital facility needs for carriers maintaining and operating hospital and clinical facilities.</w:t>
      </w:r>
    </w:p>
    <w:p>
      <w:pPr>
        <w:spacing w:before="0" w:after="0" w:line="408" w:lineRule="exact"/>
        <w:ind w:left="0" w:right="0" w:firstLine="576"/>
        <w:jc w:val="left"/>
      </w:pPr>
      <w:r>
        <w:rPr/>
        <w:t xml:space="preserve">(3) Except as provided in subsection (1) of this section, this section does not affect the rate review authority granted to the commissioner by chapter 48.19, 48.44, or 48.46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95e949e2ea046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68c044d52f4b24" /><Relationship Type="http://schemas.openxmlformats.org/officeDocument/2006/relationships/footer" Target="/word/footer.xml" Id="R095e949e2ea04674" /></Relationships>
</file>