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a0a7301dae4bab" /></Relationships>
</file>

<file path=word/document.xml><?xml version="1.0" encoding="utf-8"?>
<w:document xmlns:w="http://schemas.openxmlformats.org/wordprocessingml/2006/main">
  <w:body>
    <w:p>
      <w:r>
        <w:t>S-4343.2</w:t>
      </w:r>
    </w:p>
    <w:p>
      <w:pPr>
        <w:jc w:val="center"/>
      </w:pPr>
      <w:r>
        <w:t>_______________________________________________</w:t>
      </w:r>
    </w:p>
    <w:p/>
    <w:p>
      <w:pPr>
        <w:jc w:val="center"/>
      </w:pPr>
      <w:r>
        <w:rPr>
          <w:b/>
        </w:rPr>
        <w:t>SUBSTITUTE SENATE BILL 6410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 Padden)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amending RCW 28A.320.125; adding a new section to chapter 28A.310 RCW; creating a new section; and repealing RCW 28A.310.505.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and</w:t>
      </w:r>
    </w:p>
    <w:p>
      <w:pPr>
        <w:spacing w:before="0" w:after="0" w:line="408" w:lineRule="exact"/>
        <w:ind w:left="0" w:right="0" w:firstLine="576"/>
        <w:jc w:val="left"/>
      </w:pPr>
      <w:r>
        <w:rPr/>
        <w:t xml:space="preserve">(ii) A pedestrian evacuation drill for schools in mapped tsunami hazard zones.</w:t>
      </w:r>
    </w:p>
    <w:p>
      <w:pPr>
        <w:spacing w:before="0" w:after="0" w:line="408" w:lineRule="exact"/>
        <w:ind w:left="0" w:right="0" w:firstLine="576"/>
        <w:jc w:val="left"/>
      </w:pPr>
      <w:r>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t xml:space="preserve">(f)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u w:val="single"/>
        </w:rPr>
        <w:t xml:space="preserve">(9) Whenever a first responder agency notifies a school of a situation which may necessitate an evacuation or lockdown, the agency must also determine if other schools in the vicinity are similarly threatened and must notify every other school in the vicinity for which an evacuation or lockdown appears reasonably necessary. For purposes of this subsection, "school" includes a private school under chapter 28A.195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two educational service districts, selected by the office of the superintendent of public instruction in coordination with the nine educational service districts, must establish regional school safety centers as part of a statewide network, and as required under this section. One of the regional school safety centers must be located east of the crest of the Cascade mountains, and one of the regional school safety centers must be located west of the crest of the Cascade mountains.</w:t>
      </w:r>
    </w:p>
    <w:p>
      <w:pPr>
        <w:spacing w:before="0" w:after="0" w:line="408" w:lineRule="exact"/>
        <w:ind w:left="0" w:right="0" w:firstLine="576"/>
        <w:jc w:val="left"/>
      </w:pPr>
      <w:r>
        <w:rPr/>
        <w:t xml:space="preserve">(2) The purpose of this statewide network is to provide regional coordination of school safety efforts related to behavioral health threat assessment and suicide prevention across the state and to provide school safety resources related to behavioral health threat assessment and suicide prevention to the school districts in the region.</w:t>
      </w:r>
    </w:p>
    <w:p>
      <w:pPr>
        <w:spacing w:before="0" w:after="0" w:line="408" w:lineRule="exact"/>
        <w:ind w:left="0" w:right="0" w:firstLine="576"/>
        <w:jc w:val="left"/>
      </w:pPr>
      <w:r>
        <w:rPr/>
        <w:t xml:space="preserve">(3) The regional school safety centers must consult with the state school safety center within the office of the superintendent of public instruction in order to unify discussions around safety across the state.</w:t>
      </w:r>
    </w:p>
    <w:p>
      <w:pPr>
        <w:spacing w:before="0" w:after="0" w:line="408" w:lineRule="exact"/>
        <w:ind w:left="0" w:right="0" w:firstLine="576"/>
        <w:jc w:val="left"/>
      </w:pPr>
      <w:r>
        <w:rPr/>
        <w:t xml:space="preserve">(4) For the purpose of implementing regional school safety centers, the two selected educational service districts must employ a behavioral health threat assessment coordinator.</w:t>
      </w:r>
    </w:p>
    <w:p>
      <w:pPr>
        <w:spacing w:before="0" w:after="0" w:line="408" w:lineRule="exact"/>
        <w:ind w:left="0" w:right="0" w:firstLine="576"/>
        <w:jc w:val="left"/>
      </w:pPr>
      <w:r>
        <w:rPr/>
        <w:t xml:space="preserve">(5) Private schools under chapter 28A.195 RCW may contract with regional school safety centers for school safety resources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this act by bill or chapter number, is not provided by March 8, 2018, in the supplemental omnibus appropriations act, sections 2 and 3 of this act are null and void.</w:t>
      </w:r>
    </w:p>
    <w:p/>
    <w:p>
      <w:pPr>
        <w:jc w:val="center"/>
      </w:pPr>
      <w:r>
        <w:rPr>
          <w:b/>
        </w:rPr>
        <w:t>--- END ---</w:t>
      </w:r>
    </w:p>
    <w:sectPr>
      <w:pgNumType w:start="1"/>
      <w:footerReference xmlns:r="http://schemas.openxmlformats.org/officeDocument/2006/relationships" r:id="Rf99817619c5547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9202065f14532" /><Relationship Type="http://schemas.openxmlformats.org/officeDocument/2006/relationships/footer" Target="/word/footer.xml" Id="Rf99817619c554765" /></Relationships>
</file>