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24ee64df54bf0" /></Relationships>
</file>

<file path=word/document.xml><?xml version="1.0" encoding="utf-8"?>
<w:document xmlns:w="http://schemas.openxmlformats.org/wordprocessingml/2006/main">
  <w:body>
    <w:p>
      <w:r>
        <w:t>S-3662.1</w:t>
      </w:r>
    </w:p>
    <w:p>
      <w:pPr>
        <w:jc w:val="center"/>
      </w:pPr>
      <w:r>
        <w:t>_______________________________________________</w:t>
      </w:r>
    </w:p>
    <w:p/>
    <w:p>
      <w:pPr>
        <w:jc w:val="center"/>
      </w:pPr>
      <w:r>
        <w:rPr>
          <w:b/>
        </w:rPr>
        <w:t>SENATE BILL 6374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Rivers, Pedersen, Hunt, Billig, Rolfes, Carlyle, Dhingra, Kuderer, and Zeiger</w:t>
      </w:r>
    </w:p>
    <w:p/>
    <w:p>
      <w:r>
        <w:rPr>
          <w:t xml:space="preserve">Read first time 01/15/18.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history day program; amending RCW 43.79A.040;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education program must provide students with an understanding of history and civics, and that this understanding is critical to the ability of citizens to fully participate in their democracy.</w:t>
      </w:r>
    </w:p>
    <w:p>
      <w:pPr>
        <w:spacing w:before="0" w:after="0" w:line="408" w:lineRule="exact"/>
        <w:ind w:left="0" w:right="0" w:firstLine="576"/>
        <w:jc w:val="left"/>
      </w:pPr>
      <w:r>
        <w:rPr/>
        <w:t xml:space="preserve">(2) The legislature also finds that the Washington history day program provides students throughout the state with the opportunity to develop their knowledge and appreciation of history while learning critical thinking, problem solving, research, and presentation skills.</w:t>
      </w:r>
    </w:p>
    <w:p>
      <w:pPr>
        <w:spacing w:before="0" w:after="0" w:line="408" w:lineRule="exact"/>
        <w:ind w:left="0" w:right="0" w:firstLine="576"/>
        <w:jc w:val="left"/>
      </w:pPr>
      <w:r>
        <w:rPr/>
        <w:t xml:space="preserve">(3) The legislature further finds that in order to assure that middle and high school students have the opportunity to participate in the Washington history day program, responsibility for the program should be assigned to the office of the superintendent of public instruction, and that the superintendent, in partnership with the Washington state historical society, must reach out to each school district to provide students with the opportunity to engage in project-based learning focused on Washington state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Effective July 1, 2018, responsibility for administering the Washington history day program is transferred from the Washington state historical society to the office of the superintendent of public instruction. In accordance with this subsection (1)(a), and subject to funds appropriated for this specific purpose, the office of the superintendent of public instruction is responsible for the administration and coordination of the Washington history day program, a program affiliated with the national history day organization, including providing necessary staff support.</w:t>
      </w:r>
    </w:p>
    <w:p>
      <w:pPr>
        <w:spacing w:before="0" w:after="0" w:line="408" w:lineRule="exact"/>
        <w:ind w:left="0" w:right="0" w:firstLine="576"/>
        <w:jc w:val="left"/>
      </w:pPr>
      <w:r>
        <w:rPr/>
        <w:t xml:space="preserve">(b) Subject to the requirements and limits of (a) of this subsection and subsection (3) of this section, the Washington history day program must be operated as a partnership between the office of the superintendent of public instruction, the Washington state historical society, and private parties interested in providing funding and in-kind support for the program. The Washington state historical society must, in coordination with the office of the superintendent of public instruction, promote the program and provide access and support for students who are conducting primary and secondary research of historical Washington state documents and commentary.</w:t>
      </w:r>
    </w:p>
    <w:p>
      <w:pPr>
        <w:spacing w:before="0" w:after="0" w:line="408" w:lineRule="exact"/>
        <w:ind w:left="0" w:right="0" w:firstLine="576"/>
        <w:jc w:val="left"/>
      </w:pPr>
      <w:r>
        <w:rPr/>
        <w:t xml:space="preserve">(2) The Washington history day account is created in the custody of the state treasurer. In collaboration with private and philanthropic partners, private matching funds will be procured to support Washington history day. All receipts from gifts, grants, or endowments from public or private sources must be deposited into the account. Expenditures from the account may be used only for the Washington history day program.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All reports, documents, surveys, books, records, files, papers, or other written or electronically stored material in the possession of the historical society and pertaining to the Washington history day program must be delivered to the custody of the superintendent of public instruction on or before July 1, 2018. Excepting funds necessary to promote and support the program, all funds, credits, or other assets held by the historical society in connection with the powers, functions, and duties transferred under this section are transferred to the office of the superintendent of public instruction on or before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Washington history day account,</w:t>
      </w:r>
      <w:r>
        <w:rPr/>
        <w:t xml:space="preserve">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43b2cdf5488842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ff0010b3ee4cfe" /><Relationship Type="http://schemas.openxmlformats.org/officeDocument/2006/relationships/footer" Target="/word/footer.xml" Id="R43b2cdf54888425c" /></Relationships>
</file>