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781fe32d334c6a" /></Relationships>
</file>

<file path=word/document.xml><?xml version="1.0" encoding="utf-8"?>
<w:document xmlns:w="http://schemas.openxmlformats.org/wordprocessingml/2006/main">
  <w:body>
    <w:p>
      <w:r>
        <w:t>S-4626.1</w:t>
      </w:r>
    </w:p>
    <w:p>
      <w:pPr>
        <w:jc w:val="center"/>
      </w:pPr>
      <w:r>
        <w:t>_______________________________________________</w:t>
      </w:r>
    </w:p>
    <w:p/>
    <w:p>
      <w:pPr>
        <w:jc w:val="center"/>
      </w:pPr>
      <w:r>
        <w:rPr>
          <w:b/>
        </w:rPr>
        <w:t>SUBSTITUTE SENATE BILL 6360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O'Ban, Darneille, Zeiger, Walsh, Brown, Keiser, and Hasegawa)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transition planning for students in special education who meet criteria for services from the developmental disabilities administration; amending RCW 28A.155.220 and 71A.12.290;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transition planning grounded in individual needs and choice is an important part of special education. The legislature intends for students receiving special education services to receive meaningful opportunities for job exploration and to develop a meaningful transition plan into adult services with appropriate service coordination, training, and information to support individual potential and individual self-determination.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2015 c 217 s 2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w:t>
      </w:r>
      <w:r>
        <w:rPr>
          <w:u w:val="single"/>
        </w:rPr>
        <w:t xml:space="preserve">division of vocational rehabilitation, the developmental disabilities administration</w:t>
      </w:r>
      <w:r>
        <w:rPr/>
        <w:t xml:space="preserve">,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w:t>
      </w:r>
      <w:r>
        <w:t>((</w:t>
      </w:r>
      <w:r>
        <w:rPr>
          <w:strike/>
        </w:rPr>
        <w:t xml:space="preserve">foster effective collaboration</w:t>
      </w:r>
      <w:r>
        <w:t>))</w:t>
      </w:r>
      <w:r>
        <w:rPr/>
        <w:t xml:space="preserve"> </w:t>
      </w:r>
      <w:r>
        <w:rPr>
          <w:u w:val="single"/>
        </w:rPr>
        <w:t xml:space="preserve">coordinate efforts</w:t>
      </w:r>
      <w:r>
        <w:rPr/>
        <w:t xml:space="preserve"> among the multiple agencies providing transition services for individualized education program-eligible special education students from the beginning of transition planning</w:t>
      </w:r>
      <w:r>
        <w:t>((</w:t>
      </w:r>
      <w:r>
        <w:rPr>
          <w:strike/>
        </w:rPr>
        <w:t xml:space="preserve">, as soon as educationally and developmentally appropriate, through age twenty-one, or through high school graduation, whichever occurs first</w:t>
      </w:r>
      <w:r>
        <w:t>))</w:t>
      </w:r>
      <w:r>
        <w:rPr/>
        <w:t xml:space="preserve"> </w:t>
      </w:r>
      <w:r>
        <w:rPr>
          <w:u w:val="single"/>
        </w:rPr>
        <w:t xml:space="preserve">to efficiently arrive at a meaningful transition plan into adult services for students aged sixteen to twenty-one, or earlier if appropriate, which both minimizes disruption at the time of the student's graduation and the risk of isolation and loss of acquired skills. Coordination of transition services for students potentially eligible for services from the developmental disabilities administration must begin at least two years before the student will exit school. State agencies who will potentially provide transition services must be invited to participate in individualized education program meetings with annual consent from the parent or adult student with disabilities</w:t>
      </w:r>
      <w:r>
        <w:rPr/>
        <w:t xml:space="preserve">. Interagency agreements are also intended to streamline services and programs, promote efficiencies, </w:t>
      </w:r>
      <w:r>
        <w:rPr>
          <w:u w:val="single"/>
        </w:rPr>
        <w:t xml:space="preserve">align data,</w:t>
      </w:r>
      <w:r>
        <w:rPr/>
        <w:t xml:space="preserve"> and establish a uniform focus on improved outcomes related to </w:t>
      </w:r>
      <w:r>
        <w:rPr>
          <w:u w:val="single"/>
        </w:rPr>
        <w:t xml:space="preserve">independent living, community engagement, employment, self-determination, and economic</w:t>
      </w:r>
      <w:r>
        <w:rPr/>
        <w:t xml:space="preserve"> self-sufficiency.</w:t>
      </w:r>
    </w:p>
    <w:p>
      <w:pPr>
        <w:spacing w:before="0" w:after="0" w:line="408" w:lineRule="exact"/>
        <w:ind w:left="0" w:right="0" w:firstLine="576"/>
        <w:jc w:val="left"/>
      </w:pPr>
      <w:r>
        <w:rPr/>
        <w:t xml:space="preserve">(2)(a) </w:t>
      </w:r>
      <w:r>
        <w:t>((</w:t>
      </w:r>
      <w:r>
        <w:rPr>
          <w:strike/>
        </w:rPr>
        <w:t xml:space="preserve">When educationally and developmentally appropriate, the</w:t>
      </w:r>
      <w:r>
        <w:t>))</w:t>
      </w:r>
      <w:r>
        <w:rPr/>
        <w:t xml:space="preserve"> </w:t>
      </w:r>
      <w:r>
        <w:rPr>
          <w:u w:val="single"/>
        </w:rPr>
        <w:t xml:space="preserve">I</w:t>
      </w:r>
      <w:r>
        <w:rPr/>
        <w:t xml:space="preserve">nteragency responsibilities and linkages with transition services under subsection (1) of this section must be </w:t>
      </w:r>
      <w:r>
        <w:t>((</w:t>
      </w:r>
      <w:r>
        <w:rPr>
          <w:strike/>
        </w:rPr>
        <w:t xml:space="preserve">addressed</w:t>
      </w:r>
      <w:r>
        <w:t>))</w:t>
      </w:r>
      <w:r>
        <w:rPr/>
        <w:t xml:space="preserve"> </w:t>
      </w:r>
      <w:r>
        <w:rPr>
          <w:u w:val="single"/>
        </w:rPr>
        <w:t xml:space="preserve">documented</w:t>
      </w:r>
      <w:r>
        <w:rPr/>
        <w:t xml:space="preserve"> in </w:t>
      </w:r>
      <w:r>
        <w:t>((</w:t>
      </w:r>
      <w:r>
        <w:rPr>
          <w:strike/>
        </w:rPr>
        <w:t xml:space="preserve">a</w:t>
      </w:r>
      <w:r>
        <w:t>))</w:t>
      </w:r>
      <w:r>
        <w:rPr/>
        <w:t xml:space="preserve"> </w:t>
      </w:r>
      <w:r>
        <w:rPr>
          <w:u w:val="single"/>
        </w:rPr>
        <w:t xml:space="preserve">the student's</w:t>
      </w:r>
      <w:r>
        <w:rPr/>
        <w:t xml:space="preserve"> transition plan </w:t>
      </w:r>
      <w:r>
        <w:t>((</w:t>
      </w:r>
      <w:r>
        <w:rPr>
          <w:strike/>
        </w:rPr>
        <w:t xml:space="preserve">to a postsecondary setting in the individualized education program of a student with disabilities</w:t>
      </w:r>
      <w:r>
        <w:t>))</w:t>
      </w:r>
      <w:r>
        <w:rPr/>
        <w:t xml:space="preserve"> </w:t>
      </w:r>
      <w:r>
        <w:rPr>
          <w:u w:val="single"/>
        </w:rPr>
        <w:t xml:space="preserve">by the individualized education program team</w:t>
      </w:r>
      <w:r>
        <w:rPr/>
        <w:t xml:space="preserve">.</w:t>
      </w:r>
    </w:p>
    <w:p>
      <w:pPr>
        <w:spacing w:before="0" w:after="0" w:line="408" w:lineRule="exact"/>
        <w:ind w:left="0" w:right="0" w:firstLine="576"/>
        <w:jc w:val="left"/>
      </w:pPr>
      <w:r>
        <w:rPr/>
        <w:t xml:space="preserve">(b) Transition planning shall be based upon </w:t>
      </w:r>
      <w:r>
        <w:t>((</w:t>
      </w:r>
      <w:r>
        <w:rPr>
          <w:strike/>
        </w:rPr>
        <w:t xml:space="preserve">educationally and developmentally appropriate</w:t>
      </w:r>
      <w:r>
        <w:t>))</w:t>
      </w:r>
      <w:r>
        <w:rPr/>
        <w:t xml:space="preserve"> </w:t>
      </w:r>
      <w:r>
        <w:rPr>
          <w:u w:val="single"/>
        </w:rPr>
        <w:t xml:space="preserve">person-centered and age-appropriate</w:t>
      </w:r>
      <w:r>
        <w:rPr/>
        <w:t xml:space="preserve"> transition assessments that outline the student's individual needs, strengths, preferences, and interests. </w:t>
      </w:r>
      <w:r>
        <w:t>((</w:t>
      </w:r>
      <w:r>
        <w:rPr>
          <w:strike/>
        </w:rPr>
        <w:t xml:space="preserve">Transition assessments may include observations, interviews, inventories, situational assessments, formal and informal assessments, as well as academic assessments.</w:t>
      </w:r>
      <w:r>
        <w:t>))</w:t>
      </w:r>
    </w:p>
    <w:p>
      <w:pPr>
        <w:spacing w:before="0" w:after="0" w:line="408" w:lineRule="exact"/>
        <w:ind w:left="0" w:right="0" w:firstLine="576"/>
        <w:jc w:val="left"/>
      </w:pPr>
      <w:r>
        <w:rPr/>
        <w:t xml:space="preserve">(c) The transition services that the </w:t>
      </w:r>
      <w:r>
        <w:rPr>
          <w:u w:val="single"/>
        </w:rPr>
        <w:t xml:space="preserve">individualized education program</w:t>
      </w:r>
      <w:r>
        <w:rPr/>
        <w:t xml:space="preserve"> transition plan must address include activities needed to assist the student in reaching postsecondary goals and courses of study to support postsecondary goals</w:t>
      </w:r>
      <w:r>
        <w:rPr>
          <w:u w:val="single"/>
        </w:rPr>
        <w:t xml:space="preserve">. Transition planning for students who are potentially eligible for services from the developmental disabilities administration, with annual parental written consent, must include skill development, job interest sampling, and job exploration, and may include other activities explored by students and young adults prior to job development. The developmental disabilities administration, division of vocational rehabilitation, and school must collaborate to provide these services. A school-to-work program that includes a partnership between schools, the division of vocational rehabilitation, and employment support providers may be used to meet the requirements of this subsection.</w:t>
      </w:r>
    </w:p>
    <w:p>
      <w:pPr>
        <w:spacing w:before="0" w:after="0" w:line="408" w:lineRule="exact"/>
        <w:ind w:left="0" w:right="0" w:firstLine="576"/>
        <w:jc w:val="left"/>
      </w:pPr>
      <w:r>
        <w:rPr>
          <w:u w:val="single"/>
        </w:rPr>
        <w:t xml:space="preserve">(d) Individualized education program transition planning for students who are potentially eligible for services through the developmental disabilities administration must include provision of information to the student and the student's family regarding service options that may be available upon graduation, including the process to obtain these services. Information may be provided by webinar or other means. Such information must support informed decision making so that the student and family may make an informed choice to pursue employment services or community inclusion services upon graduation.</w:t>
      </w:r>
    </w:p>
    <w:p>
      <w:pPr>
        <w:spacing w:before="0" w:after="0" w:line="408" w:lineRule="exact"/>
        <w:ind w:left="0" w:right="0" w:firstLine="576"/>
        <w:jc w:val="left"/>
      </w:pPr>
      <w:r>
        <w:rPr>
          <w:u w:val="single"/>
        </w:rPr>
        <w:t xml:space="preserve">(e) The developmental disabilities administration must coordinate with the office of the superintendent of public instruction to provide training, by webinar or other means, to schools regarding curriculum, eligibility criteria, and application processes relating to services from the developmental disabilities administration, and best practices for facilitating transition planning for students who are potentially eligible for services. When a student is potentially eligible for services through the developmental disabilities administration, and is willing to apply for these services, the school must coordinate with the developmental disabilities administration to help facilitate the application and assessment process for the student</w:t>
      </w:r>
      <w:r>
        <w:rPr/>
        <w:t xml:space="preserve">.</w:t>
      </w:r>
    </w:p>
    <w:p>
      <w:pPr>
        <w:spacing w:before="0" w:after="0" w:line="408" w:lineRule="exact"/>
        <w:ind w:left="0" w:right="0" w:firstLine="576"/>
        <w:jc w:val="left"/>
      </w:pPr>
      <w:r>
        <w:t>((</w:t>
      </w:r>
      <w:r>
        <w:rPr>
          <w:strike/>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As the student gets older, changes in the transition plan </w:t>
      </w:r>
      <w:r>
        <w:t>((</w:t>
      </w:r>
      <w:r>
        <w:rPr>
          <w:strike/>
        </w:rPr>
        <w:t xml:space="preserve">may</w:t>
      </w:r>
      <w:r>
        <w:t>))</w:t>
      </w:r>
      <w:r>
        <w:rPr/>
        <w:t xml:space="preserve"> </w:t>
      </w:r>
      <w:r>
        <w:rPr>
          <w:u w:val="single"/>
        </w:rPr>
        <w:t xml:space="preserve">must</w:t>
      </w:r>
      <w:r>
        <w:rPr/>
        <w:t xml:space="preserve"> be noted in the annual update of the student's individualized education program </w:t>
      </w:r>
      <w:r>
        <w:rPr>
          <w:u w:val="single"/>
        </w:rPr>
        <w:t xml:space="preserve">and, for students receiving services from the developmental disabilities administration, in the student's developmental disabilities administration annual assessment and person-centered plan</w:t>
      </w:r>
      <w:r>
        <w:rPr/>
        <w:t xml:space="preserve">.</w:t>
      </w:r>
    </w:p>
    <w:p>
      <w:pPr>
        <w:spacing w:before="0" w:after="0" w:line="408" w:lineRule="exact"/>
        <w:ind w:left="0" w:right="0" w:firstLine="576"/>
        <w:jc w:val="left"/>
      </w:pPr>
      <w:r>
        <w:t>((</w:t>
      </w:r>
      <w:r>
        <w:rPr>
          <w:strike/>
        </w:rPr>
        <w:t xml:space="preserve">(g) A student with disabilities who has a high school and beyond plan may use the plan to comply with the transition plan required under this subsection (2).</w:t>
      </w:r>
      <w:r>
        <w:t>))</w:t>
      </w:r>
    </w:p>
    <w:p>
      <w:pPr>
        <w:spacing w:before="0" w:after="0" w:line="408" w:lineRule="exact"/>
        <w:ind w:left="0" w:right="0" w:firstLine="576"/>
        <w:jc w:val="left"/>
      </w:pPr>
      <w:r>
        <w:rPr/>
        <w:t xml:space="preserve">(3)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rPr/>
        <w:t xml:space="preserve">(4) To the extent that the data elements in subsection (3) of this section are available to the education data center through data-sharing agreements, the office of the superintendent of public instruction must prepare an annual report using existing resources and submit the report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employment services must be offered the choice to transition to </w:t>
      </w:r>
      <w:r>
        <w:t>((</w:t>
      </w:r>
      <w:r>
        <w:rPr>
          <w:strike/>
        </w:rPr>
        <w:t xml:space="preserve">a</w:t>
      </w:r>
      <w:r>
        <w:t>))</w:t>
      </w:r>
      <w:r>
        <w:rPr/>
        <w:t xml:space="preserve"> community </w:t>
      </w:r>
      <w:r>
        <w:t>((</w:t>
      </w:r>
      <w:r>
        <w:rPr>
          <w:strike/>
        </w:rPr>
        <w:t xml:space="preserve">access program</w:t>
      </w:r>
      <w:r>
        <w:t>))</w:t>
      </w:r>
      <w:r>
        <w:rPr/>
        <w:t xml:space="preserve"> </w:t>
      </w:r>
      <w:r>
        <w:rPr>
          <w:u w:val="single"/>
        </w:rPr>
        <w:t xml:space="preserve">inclusion services</w:t>
      </w:r>
      <w:r>
        <w:rPr/>
        <w:t xml:space="preserve"> after nine months of enrollment in an employment program, and the option to transition from </w:t>
      </w:r>
      <w:r>
        <w:t>((</w:t>
      </w:r>
      <w:r>
        <w:rPr>
          <w:strike/>
        </w:rPr>
        <w:t xml:space="preserve">a</w:t>
      </w:r>
      <w:r>
        <w:t>))</w:t>
      </w:r>
      <w:r>
        <w:rPr/>
        <w:t xml:space="preserve"> community </w:t>
      </w:r>
      <w:r>
        <w:t>((</w:t>
      </w:r>
      <w:r>
        <w:rPr>
          <w:strike/>
        </w:rPr>
        <w:t xml:space="preserve">access program</w:t>
      </w:r>
      <w:r>
        <w:t>))</w:t>
      </w:r>
      <w:r>
        <w:rPr/>
        <w:t xml:space="preserve"> </w:t>
      </w:r>
      <w:r>
        <w:rPr>
          <w:u w:val="single"/>
        </w:rPr>
        <w:t xml:space="preserve">inclusion services</w:t>
      </w:r>
      <w:r>
        <w:rPr/>
        <w:t xml:space="preserve"> to an employment program at any time</w:t>
      </w:r>
      <w:r>
        <w:rPr>
          <w:u w:val="single"/>
        </w:rPr>
        <w:t xml:space="preserve">, subject to subsection (2) of this section</w:t>
      </w:r>
      <w:r>
        <w:rPr/>
        <w:t xml:space="preserve">.</w:t>
      </w:r>
    </w:p>
    <w:p>
      <w:pPr>
        <w:spacing w:before="0" w:after="0" w:line="408" w:lineRule="exact"/>
        <w:ind w:left="0" w:right="0" w:firstLine="576"/>
        <w:jc w:val="left"/>
      </w:pPr>
      <w:r>
        <w:rPr>
          <w:u w:val="single"/>
        </w:rPr>
        <w:t xml:space="preserve">(2)</w:t>
      </w:r>
      <w:r>
        <w:rPr/>
        <w:t xml:space="preserve"> Enrollment in an employment program begins at the time the client is authorized to receive employment. </w:t>
      </w:r>
      <w:r>
        <w:t>((</w:t>
      </w:r>
      <w:r>
        <w:rPr>
          <w:strike/>
        </w:rPr>
        <w:t xml:space="preserve">(2) Prior approval by the department shall not be required to effectuate the client's choice to</w:t>
      </w:r>
      <w:r>
        <w:t>))</w:t>
      </w:r>
      <w:r>
        <w:rPr/>
        <w:t xml:space="preserve"> </w:t>
      </w:r>
      <w:r>
        <w:rPr>
          <w:u w:val="single"/>
        </w:rPr>
        <w:t xml:space="preserve">A client may</w:t>
      </w:r>
      <w:r>
        <w:rPr/>
        <w:t xml:space="preserve"> transition from an employment program to community </w:t>
      </w:r>
      <w:r>
        <w:t>((</w:t>
      </w:r>
      <w:r>
        <w:rPr>
          <w:strike/>
        </w:rPr>
        <w:t xml:space="preserve">access</w:t>
      </w:r>
      <w:r>
        <w:t>))</w:t>
      </w:r>
      <w:r>
        <w:rPr/>
        <w:t xml:space="preserve"> </w:t>
      </w:r>
      <w:r>
        <w:rPr>
          <w:u w:val="single"/>
        </w:rPr>
        <w:t xml:space="preserve">inclusion</w:t>
      </w:r>
      <w:r>
        <w:rPr/>
        <w:t xml:space="preserve"> services </w:t>
      </w:r>
      <w:r>
        <w:rPr>
          <w:u w:val="single"/>
        </w:rPr>
        <w:t xml:space="preserve">without prior approval by the department</w:t>
      </w:r>
      <w:r>
        <w:rPr/>
        <w:t xml:space="preserve"> after </w:t>
      </w:r>
      <w:r>
        <w:t>((</w:t>
      </w:r>
      <w:r>
        <w:rPr>
          <w:strike/>
        </w:rPr>
        <w:t xml:space="preserve">verifying</w:t>
      </w:r>
      <w:r>
        <w:t>))</w:t>
      </w:r>
      <w:r>
        <w:rPr/>
        <w:t xml:space="preserve"> nine months of participation in employment-related services. </w:t>
      </w:r>
      <w:r>
        <w:rPr>
          <w:u w:val="single"/>
        </w:rPr>
        <w:t xml:space="preserve">Clients who participated in at least nine months of a transition program under RCW 28A.155.220(2)(c) after January 1, 2021, or who participated in a school-to-work program involving a partnership between the school, division of vocational rehabilitation, and employment support providers may enroll directly into community inclusion services, or transition from an employment program to community inclusion services after fewer than nine months.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An individual client may be authorized for only one service option, either employment services or community </w:t>
      </w:r>
      <w:r>
        <w:t>((</w:t>
      </w:r>
      <w:r>
        <w:rPr>
          <w:strike/>
        </w:rPr>
        <w:t xml:space="preserve">access</w:t>
      </w:r>
      <w:r>
        <w:t>))</w:t>
      </w:r>
      <w:r>
        <w:rPr/>
        <w:t xml:space="preserve"> </w:t>
      </w:r>
      <w:r>
        <w:rPr>
          <w:u w:val="single"/>
        </w:rPr>
        <w:t xml:space="preserve">inclusion</w:t>
      </w:r>
      <w:r>
        <w:rPr/>
        <w:t xml:space="preserve"> services. Clients may not participate in more than one of these services at any given time.</w:t>
      </w:r>
    </w:p>
    <w:p>
      <w:pPr>
        <w:spacing w:before="0" w:after="0" w:line="408" w:lineRule="exact"/>
        <w:ind w:left="0" w:right="0" w:firstLine="576"/>
        <w:jc w:val="left"/>
      </w:pPr>
      <w:r>
        <w:rPr/>
        <w:t xml:space="preserve">(4) The department shall work with counties and stakeholders to strengthen and expand </w:t>
      </w:r>
      <w:r>
        <w:t>((</w:t>
      </w:r>
      <w:r>
        <w:rPr>
          <w:strike/>
        </w:rPr>
        <w:t xml:space="preserve">the</w:t>
      </w:r>
      <w:r>
        <w:t>))</w:t>
      </w:r>
      <w:r>
        <w:rPr/>
        <w:t xml:space="preserve"> </w:t>
      </w:r>
      <w:r>
        <w:rPr>
          <w:u w:val="single"/>
        </w:rPr>
        <w:t xml:space="preserve">all</w:t>
      </w:r>
      <w:r>
        <w:rPr/>
        <w:t xml:space="preserve"> existing </w:t>
      </w:r>
      <w:r>
        <w:t>((</w:t>
      </w:r>
      <w:r>
        <w:rPr>
          <w:strike/>
        </w:rPr>
        <w:t xml:space="preserve">community access program</w:t>
      </w:r>
      <w:r>
        <w:t>))</w:t>
      </w:r>
      <w:r>
        <w:rPr/>
        <w:t xml:space="preserve"> </w:t>
      </w:r>
      <w:r>
        <w:rPr>
          <w:u w:val="single"/>
        </w:rPr>
        <w:t xml:space="preserve">home and community-based waiver services</w:t>
      </w:r>
      <w:r>
        <w:rPr/>
        <w:t xml:space="preserve">, including the consideration of options that allow for alternative service settings outside of the client's residence. The </w:t>
      </w:r>
      <w:r>
        <w:t>((</w:t>
      </w:r>
      <w:r>
        <w:rPr>
          <w:strike/>
        </w:rPr>
        <w:t xml:space="preserve">program</w:t>
      </w:r>
      <w:r>
        <w:t>))</w:t>
      </w:r>
      <w:r>
        <w:rPr/>
        <w:t xml:space="preserve"> </w:t>
      </w:r>
      <w:r>
        <w:rPr>
          <w:u w:val="single"/>
        </w:rPr>
        <w:t xml:space="preserve">waiver services</w:t>
      </w:r>
      <w:r>
        <w:rPr/>
        <w:t xml:space="preserve">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nine months prior to transitioning to </w:t>
      </w:r>
      <w:r>
        <w:t>((</w:t>
      </w:r>
      <w:r>
        <w:rPr>
          <w:strike/>
        </w:rPr>
        <w:t xml:space="preserve">a</w:t>
      </w:r>
      <w:r>
        <w:t>))</w:t>
      </w:r>
      <w:r>
        <w:rPr/>
        <w:t xml:space="preserve"> community </w:t>
      </w:r>
      <w:r>
        <w:t>((</w:t>
      </w:r>
      <w:r>
        <w:rPr>
          <w:strike/>
        </w:rPr>
        <w:t xml:space="preserve">access program</w:t>
      </w:r>
      <w:r>
        <w:t>))</w:t>
      </w:r>
      <w:r>
        <w:rPr/>
        <w:t xml:space="preserve"> </w:t>
      </w:r>
      <w:r>
        <w:rPr>
          <w:u w:val="single"/>
        </w:rPr>
        <w:t xml:space="preserve">inclusion services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developmental disabilities administration, division of vocational rehabilitation, and the office of the superintendent of public instruction must develop a plan of implementation to build statewide capacity among school districts to meet the requirements of this act by January 1, 2021, and provide an opportunity for all school districts to participate. This plan must be reported to the governor and relevant committees of the legislature, in compliance with RCW 43.01.036, by November 1, 2018, and a final report must be provided by November 1, 2020.</w:t>
      </w:r>
    </w:p>
    <w:p/>
    <w:p>
      <w:pPr>
        <w:jc w:val="center"/>
      </w:pPr>
      <w:r>
        <w:rPr>
          <w:b/>
        </w:rPr>
        <w:t>--- END ---</w:t>
      </w:r>
    </w:p>
    <w:sectPr>
      <w:pgNumType w:start="1"/>
      <w:footerReference xmlns:r="http://schemas.openxmlformats.org/officeDocument/2006/relationships" r:id="R02a69ca71afb4c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e6463aee84c84" /><Relationship Type="http://schemas.openxmlformats.org/officeDocument/2006/relationships/footer" Target="/word/footer.xml" Id="R02a69ca71afb4c82" /></Relationships>
</file>