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99fc3bc224ff6" /></Relationships>
</file>

<file path=word/document.xml><?xml version="1.0" encoding="utf-8"?>
<w:document xmlns:w="http://schemas.openxmlformats.org/wordprocessingml/2006/main">
  <w:body>
    <w:p>
      <w:r>
        <w:t>S-3732.1</w:t>
      </w:r>
    </w:p>
    <w:p>
      <w:pPr>
        <w:jc w:val="center"/>
      </w:pPr>
      <w:r>
        <w:t>_______________________________________________</w:t>
      </w:r>
    </w:p>
    <w:p/>
    <w:p>
      <w:pPr>
        <w:jc w:val="center"/>
      </w:pPr>
      <w:r>
        <w:rPr>
          <w:b/>
        </w:rPr>
        <w:t>SENATE BILL 6336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Baumgartner, Kuderer, and Hasegawa</w:t>
      </w:r>
    </w:p>
    <w:p/>
    <w:p>
      <w:r>
        <w:rPr>
          <w:t xml:space="preserve">Read first time 01/12/18.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interscholastic activities association and any voluntary nonprofit entity with the authority over interschool athletic activities and other interschool extracurricular activities for students of a school district; amending RCW 28A.600.200; and adding a new section to chapter 28A.600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u w:val="single"/>
        </w:rPr>
        <w:t xml:space="preserve">(1)</w:t>
      </w:r>
      <w:r>
        <w:rPr/>
        <w:t xml:space="preserve"> 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w:t>
      </w:r>
    </w:p>
    <w:p>
      <w:pPr>
        <w:spacing w:before="0" w:after="0" w:line="408" w:lineRule="exact"/>
        <w:ind w:left="0" w:right="0" w:firstLine="576"/>
        <w:jc w:val="left"/>
      </w:pPr>
      <w:r>
        <w:rPr>
          <w:u w:val="single"/>
        </w:rPr>
        <w:t xml:space="preserve">(2)</w:t>
      </w:r>
      <w:r>
        <w:rPr/>
        <w:t xml:space="preserve"> A board of directors may delegate control, supervision and regulation of any </w:t>
      </w:r>
      <w:r>
        <w:t>((</w:t>
      </w:r>
      <w:r>
        <w:rPr>
          <w:strike/>
        </w:rPr>
        <w:t xml:space="preserve">such</w:t>
      </w:r>
      <w:r>
        <w:t>))</w:t>
      </w:r>
      <w:r>
        <w:rPr/>
        <w:t xml:space="preserve"> activity </w:t>
      </w:r>
      <w:r>
        <w:rPr>
          <w:u w:val="single"/>
        </w:rPr>
        <w:t xml:space="preserve">authorized under subsection (1) of this section</w:t>
      </w:r>
      <w:r>
        <w:rPr/>
        <w:t xml:space="preserve">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 The voluntary nonprofit entity shall submit an annual report to the office of the superintendent of public instruction of student appeal determinations, assets, and financial receipts and disbursements at such time and in such detail as the superintendent of public instruction shall establish by rule;</w:t>
      </w:r>
    </w:p>
    <w:p>
      <w:pPr>
        <w:spacing w:before="0" w:after="0" w:line="408" w:lineRule="exact"/>
        <w:ind w:left="0" w:right="0" w:firstLine="576"/>
        <w:jc w:val="left"/>
      </w:pPr>
      <w:r>
        <w:rPr>
          <w:u w:val="single"/>
        </w:rPr>
        <w:t xml:space="preserve">(b)</w:t>
      </w:r>
      <w:r>
        <w:rPr/>
        <w:t xml:space="preserve"> The voluntary nonprofit entity shall not discriminate in connection with employment or membership upon its governing board, or otherwise in connection with any function it performs, on the basis of race, creed, national origin, sex or marital status;</w:t>
      </w:r>
    </w:p>
    <w:p>
      <w:pPr>
        <w:spacing w:before="0" w:after="0" w:line="408" w:lineRule="exact"/>
        <w:ind w:left="0" w:right="0" w:firstLine="576"/>
        <w:jc w:val="left"/>
      </w:pPr>
      <w:r>
        <w:t>((</w:t>
      </w:r>
      <w:r>
        <w:rPr>
          <w:strike/>
        </w:rPr>
        <w:t xml:space="preserve">(2)(a)</w:t>
      </w:r>
      <w:r>
        <w:t>))</w:t>
      </w:r>
      <w:r>
        <w:rPr/>
        <w:t xml:space="preserve"> </w:t>
      </w:r>
      <w:r>
        <w:rPr>
          <w:u w:val="single"/>
        </w:rPr>
        <w:t xml:space="preserve">(c)(i)</w:t>
      </w:r>
      <w:r>
        <w:rPr/>
        <w:t xml:space="preserve"> Any rules and policies adopted and applied by the voluntary nonprofit entity that governs student participation in any interschool activity shall be written </w:t>
      </w:r>
      <w:r>
        <w:rPr>
          <w:u w:val="single"/>
        </w:rPr>
        <w:t xml:space="preserve">and subject to the annual review and approval of the office of the superintendent of public instruction at such time as it shall establish;</w:t>
      </w:r>
    </w:p>
    <w:p>
      <w:pPr>
        <w:spacing w:before="0" w:after="0" w:line="408" w:lineRule="exact"/>
        <w:ind w:left="0" w:right="0" w:firstLine="576"/>
        <w:jc w:val="left"/>
      </w:pPr>
      <w:r>
        <w:rPr>
          <w:u w:val="single"/>
        </w:rPr>
        <w:t xml:space="preserve">(ii) All amendments and repeals of such rules and policies shall be subject to the review and approval of the superintendent of public instruction</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Such rules and policies shall provide for notice of the reasons and a fair opportunity to contest such reasons prior to a final determination to reject a student's request to participate in or to continue in an interschool activity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(3)(a)</w:t>
      </w:r>
      <w:r>
        <w:t>))</w:t>
      </w:r>
      <w:r>
        <w:rPr/>
        <w:t xml:space="preserve"> </w:t>
      </w:r>
      <w:r>
        <w:rPr>
          <w:u w:val="single"/>
        </w:rPr>
        <w:t xml:space="preserve">(d)(i)</w:t>
      </w:r>
      <w:r>
        <w:rPr/>
        <w:t xml:space="preserve">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penalty that is imposed for rules violations must be proportional to the offense;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decision resulting in a penalty shall be considered a decision of the school district conducting the activity in which the student seeks to participate or was participating and may be appealed pursuant to RCW 28A.600.205 and 28A.645.010 through 28A.645.030</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Any championship elimination basketball tournaments held by the Washington interscholastic activities association or other voluntary nonprofit entity delegated to control, supervise, and regulate such activities under RCW 28A.600.200 shall:</w:t>
      </w:r>
    </w:p>
    <w:p>
      <w:pPr>
        <w:spacing w:before="0" w:after="0" w:line="408" w:lineRule="exact"/>
        <w:ind w:left="0" w:right="0" w:firstLine="576"/>
        <w:jc w:val="left"/>
      </w:pPr>
      <w:r>
        <w:rPr/>
        <w:t xml:space="preserve">(1) Be composed of sixteen teams per classification;</w:t>
      </w:r>
    </w:p>
    <w:p>
      <w:pPr>
        <w:spacing w:before="0" w:after="0" w:line="408" w:lineRule="exact"/>
        <w:ind w:left="0" w:right="0" w:firstLine="576"/>
        <w:jc w:val="left"/>
      </w:pPr>
      <w:r>
        <w:rPr/>
        <w:t xml:space="preserve">(2) Be held over consecutive days; and</w:t>
      </w:r>
    </w:p>
    <w:p>
      <w:pPr>
        <w:spacing w:before="0" w:after="0" w:line="408" w:lineRule="exact"/>
        <w:ind w:left="0" w:right="0" w:firstLine="576"/>
        <w:jc w:val="left"/>
      </w:pPr>
      <w:r>
        <w:rPr/>
        <w:t xml:space="preserve">(3) Have all tournament games in each classification played in the same city or county.</w:t>
      </w:r>
    </w:p>
    <w:p/>
    <w:p>
      <w:pPr>
        <w:jc w:val="center"/>
      </w:pPr>
      <w:r>
        <w:rPr>
          <w:b/>
        </w:rPr>
        <w:t>--- END ---</w:t>
      </w:r>
    </w:p>
    <w:sectPr>
      <w:pgNumType w:start="1"/>
      <w:footerReference xmlns:r="http://schemas.openxmlformats.org/officeDocument/2006/relationships" r:id="Rb56a48ab6eb846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01f99f4754c63" /><Relationship Type="http://schemas.openxmlformats.org/officeDocument/2006/relationships/footer" Target="/word/footer.xml" Id="Rb56a48ab6eb846f7" /></Relationships>
</file>