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35368026b649d1" /></Relationships>
</file>

<file path=word/document.xml><?xml version="1.0" encoding="utf-8"?>
<w:document xmlns:w="http://schemas.openxmlformats.org/wordprocessingml/2006/main">
  <w:body>
    <w:p>
      <w:r>
        <w:t>S-3556.2</w:t>
      </w:r>
    </w:p>
    <w:p>
      <w:pPr>
        <w:jc w:val="center"/>
      </w:pPr>
      <w:r>
        <w:t>_______________________________________________</w:t>
      </w:r>
    </w:p>
    <w:p/>
    <w:p>
      <w:pPr>
        <w:jc w:val="center"/>
      </w:pPr>
      <w:r>
        <w:rPr>
          <w:b/>
        </w:rPr>
        <w:t>SENATE BILL 6251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Dhingra, Kuderer, Rolfes, Nelson, Palumbo, Wellman, Mullet, Chase, Keiser, Saldaña, and Conway</w:t>
      </w:r>
    </w:p>
    <w:p/>
    <w:p>
      <w:r>
        <w:rPr>
          <w:t xml:space="preserve">Read first time 01/11/18.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exemptions for service-connected disabled veterans and senior citizens; amending RCW 84.36.381, 84.36.383, 84.36.385, and 84.38.020; reenacting and amending RCW 84.38.030;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establish a mechanism for adjusting income thresholds into the future. Income thresholds were last adjusted in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2017 3rd sp.s. c 13 s 311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is exempt from all excess property taxes and the additional state property tax imposed under RCW 84.52.065(2);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1" for the previous year or forty-five percent of the county median household income, adjusted every five years beginning January 1, 2019, as provided in RCW 84.36.385(7).</w:t>
      </w:r>
    </w:p>
    <w:p>
      <w:pPr>
        <w:spacing w:before="0" w:after="0" w:line="408" w:lineRule="exact"/>
        <w:ind w:left="0" w:right="0" w:firstLine="576"/>
        <w:jc w:val="left"/>
      </w:pPr>
      <w:r>
        <w:rPr>
          <w:u w:val="single"/>
        </w:rPr>
        <w:t xml:space="preserve">(9) "Income threshold 2"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2" for the previous year or fifty-five percent of the county median household income, adjusted every five years beginning January 1, 2019, as provided in RCW 84.36.385(7).</w:t>
      </w:r>
    </w:p>
    <w:p>
      <w:pPr>
        <w:spacing w:before="0" w:after="0" w:line="408" w:lineRule="exact"/>
        <w:ind w:left="0" w:right="0" w:firstLine="576"/>
        <w:jc w:val="left"/>
      </w:pPr>
      <w:r>
        <w:rPr>
          <w:u w:val="single"/>
        </w:rPr>
        <w:t xml:space="preserve">(10) "Income threshold 3" means:</w:t>
      </w:r>
    </w:p>
    <w:p>
      <w:pPr>
        <w:spacing w:before="0" w:after="0" w:line="408" w:lineRule="exact"/>
        <w:ind w:left="0" w:right="0" w:firstLine="576"/>
        <w:jc w:val="left"/>
      </w:pPr>
      <w:r>
        <w:rPr>
          <w:u w:val="single"/>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3" for the previous year or sixty-five percent of the county median household income, adjusted every five years beginning January 1, 2019, as provided in RCW 84.36.385(7).</w:t>
      </w:r>
    </w:p>
    <w:p>
      <w:pPr>
        <w:spacing w:before="0" w:after="0" w:line="408" w:lineRule="exact"/>
        <w:ind w:left="0" w:right="0" w:firstLine="576"/>
        <w:jc w:val="left"/>
      </w:pPr>
      <w:r>
        <w:rPr>
          <w:u w:val="single"/>
        </w:rPr>
        <w:t xml:space="preserve">(11) "County median household income" means the median household income estimates for the state of Washington by county of the legal address of the principal place of residence, as published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Beginning January 1, 2019, and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 including preliminary estimates or projections, as published by the office of financial management. For the purposes of this subsection, "county median household income" has the same meaning as in RCW 84.36.383.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w:t>
      </w:r>
      <w:r>
        <w:rPr>
          <w:u w:val="single"/>
        </w:rPr>
        <w:t xml:space="preserve">is</w:t>
      </w:r>
      <w:r>
        <w:rPr/>
        <w:t xml:space="preserve"> the claimant </w:t>
      </w:r>
      <w:r>
        <w:t>((</w:t>
      </w:r>
      <w:r>
        <w:rPr>
          <w:strike/>
        </w:rPr>
        <w:t xml:space="preserve">shall be</w:t>
      </w:r>
      <w:r>
        <w:t>))</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u w:val="single"/>
        </w:rPr>
        <w:t xml:space="preserve">(3) "Income threshold" means:</w:t>
      </w:r>
    </w:p>
    <w:p>
      <w:pPr>
        <w:spacing w:before="0" w:after="0" w:line="408" w:lineRule="exact"/>
        <w:ind w:left="0" w:right="0" w:firstLine="576"/>
        <w:jc w:val="left"/>
      </w:pPr>
      <w:r>
        <w:rPr>
          <w:u w:val="single"/>
        </w:rPr>
        <w:t xml:space="preserve">(a) For taxes levied for collection in calendar years prior to 2020, a combined disposable income equal to forty-five thousand dollars; and</w:t>
      </w:r>
    </w:p>
    <w:p>
      <w:pPr>
        <w:spacing w:before="0" w:after="0" w:line="408" w:lineRule="exact"/>
        <w:ind w:left="0" w:right="0" w:firstLine="576"/>
        <w:jc w:val="left"/>
      </w:pPr>
      <w:r>
        <w:rPr>
          <w:u w:val="single"/>
        </w:rPr>
        <w:t xml:space="preserve">(b) For taxes levied for collection in calendar year 2020 or thereafter, a combined disposable income equal to the greater of the "income threshold" for the previous year, or seventy-five percent of the county median household income, adjusted every five years beginning January 1, 2019, as provided in RCW 84.36.385(7).</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or surviving domestic partner of a person who was receiving a deferral at the time of the person's death qualifies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2019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tax preference in this act to be permanent; therefore, this act is not subject to the provisions of RCW 82.32.805 and 82.32.808.</w:t>
      </w:r>
    </w:p>
    <w:p/>
    <w:p>
      <w:pPr>
        <w:jc w:val="center"/>
      </w:pPr>
      <w:r>
        <w:rPr>
          <w:b/>
        </w:rPr>
        <w:t>--- END ---</w:t>
      </w:r>
    </w:p>
    <w:sectPr>
      <w:pgNumType w:start="1"/>
      <w:footerReference xmlns:r="http://schemas.openxmlformats.org/officeDocument/2006/relationships" r:id="Ra3358b6d79a344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e679ff8fb04d40" /><Relationship Type="http://schemas.openxmlformats.org/officeDocument/2006/relationships/footer" Target="/word/footer.xml" Id="Ra3358b6d79a344c1" /></Relationships>
</file>