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663be7ae4c4e9d" /></Relationships>
</file>

<file path=word/document.xml><?xml version="1.0" encoding="utf-8"?>
<w:document xmlns:w="http://schemas.openxmlformats.org/wordprocessingml/2006/main">
  <w:body>
    <w:p>
      <w:r>
        <w:t>S-3237.1</w:t>
      </w:r>
    </w:p>
    <w:p>
      <w:pPr>
        <w:jc w:val="center"/>
      </w:pPr>
      <w:r>
        <w:t>_______________________________________________</w:t>
      </w:r>
    </w:p>
    <w:p/>
    <w:p>
      <w:pPr>
        <w:jc w:val="center"/>
      </w:pPr>
      <w:r>
        <w:rPr>
          <w:b/>
        </w:rPr>
        <w:t>SENATE BILL 6250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and Padden</w:t>
      </w:r>
    </w:p>
    <w:p/>
    <w:p>
      <w:r>
        <w:rPr>
          <w:t xml:space="preserve">Read first time 01/11/18.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ten year reference in impaired driving provisions; amending RCW 46.61.502 and 46.61.504; reenacting and amending RCW 46.61.5055;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t>
      </w:r>
      <w:r>
        <w:t>((</w:t>
      </w:r>
      <w:r>
        <w:rPr>
          <w:strike/>
        </w:rPr>
        <w:t xml:space="preserve">within ten years</w:t>
      </w:r>
      <w:r>
        <w:t>))</w:t>
      </w:r>
      <w:r>
        <w:rPr/>
        <w:t xml:space="preserve">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2017 c 336 s 6 and 2017 c 335 s 3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w:t>
      </w:r>
      <w:r>
        <w:t>((</w:t>
      </w:r>
      <w:r>
        <w:rPr>
          <w:b/>
          <w:strike/>
        </w:rPr>
        <w:t xml:space="preserve">in ten years</w:t>
      </w:r>
      <w:r>
        <w:t>))</w:t>
      </w:r>
      <w:r>
        <w:rPr>
          <w:b/>
        </w:rPr>
        <w:t xml:space="preserve">.</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t>
      </w:r>
      <w:r>
        <w:t>((</w:t>
      </w:r>
      <w:r>
        <w:rPr>
          <w:strike/>
        </w:rPr>
        <w:t xml:space="preserve">within ten years</w:t>
      </w:r>
      <w:r>
        <w:t>))</w:t>
      </w:r>
      <w:r>
        <w:rPr/>
        <w:t xml:space="preserve">;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 </w:t>
      </w:r>
      <w:r>
        <w:rPr>
          <w:u w:val="single"/>
        </w:rPr>
        <w:t xml:space="preserve">and</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w:t>
      </w:r>
      <w:r>
        <w:t>((</w:t>
      </w:r>
      <w:r>
        <w:rPr>
          <w:strike/>
        </w:rPr>
        <w:t xml:space="preserve">; and</w:t>
      </w:r>
    </w:p>
    <w:p>
      <w:pPr>
        <w:spacing w:before="0" w:after="0" w:line="408" w:lineRule="exact"/>
        <w:ind w:left="0" w:right="0" w:firstLine="576"/>
        <w:jc w:val="left"/>
      </w:pPr>
      <w:r>
        <w:rPr>
          <w:strike/>
        </w:rPr>
        <w:t xml:space="preserve">(d) "Within ten years" means that the arrest for a prior offense occurred within ten years before or after the arrest for the current offense</w:t>
      </w:r>
      <w:r>
        <w:t>))</w:t>
      </w:r>
      <w:r>
        <w:rPr/>
        <w:t xml:space="preserv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t>
      </w:r>
      <w:r>
        <w:t>((</w:t>
      </w:r>
      <w:r>
        <w:rPr>
          <w:strike/>
        </w:rPr>
        <w:t xml:space="preserve">within ten years</w:t>
      </w:r>
      <w:r>
        <w:t>))</w:t>
      </w:r>
      <w:r>
        <w:rPr/>
        <w:t xml:space="preserve">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
      <w:pPr>
        <w:jc w:val="center"/>
      </w:pPr>
      <w:r>
        <w:rPr>
          <w:b/>
        </w:rPr>
        <w:t>--- END ---</w:t>
      </w:r>
    </w:p>
    <w:sectPr>
      <w:pgNumType w:start="1"/>
      <w:footerReference xmlns:r="http://schemas.openxmlformats.org/officeDocument/2006/relationships" r:id="Rf1b71ca9933e4a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0f6e3287bd4622" /><Relationship Type="http://schemas.openxmlformats.org/officeDocument/2006/relationships/footer" Target="/word/footer.xml" Id="Rf1b71ca9933e4adc" /></Relationships>
</file>