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90b66c6a6489e" /></Relationships>
</file>

<file path=word/document.xml><?xml version="1.0" encoding="utf-8"?>
<w:document xmlns:w="http://schemas.openxmlformats.org/wordprocessingml/2006/main">
  <w:body>
    <w:p>
      <w:r>
        <w:t>S-3586.1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6232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Senators Conway, Bailey, Cleveland, Padden, Hasegawa, Hunt, Takko, Ranker, and King</w:t>
      </w:r>
    </w:p>
    <w:p/>
    <w:p>
      <w:r>
        <w:rPr>
          <w:t xml:space="preserve">Read first time 01/10/18.  </w:t>
        </w:rPr>
      </w:r>
      <w:r>
        <w:rPr>
          <w:t xml:space="preserve">Referred to Committee on Labor &amp; Commerce.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hearing instrument replacement under the industrial insurance medical aid benefit; and adding a new section to chapter 51.36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51</w:t>
      </w:r>
      <w:r>
        <w:rPr/>
        <w:t xml:space="preserve">.</w:t>
      </w:r>
      <w:r>
        <w:t xml:space="preserve">36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Subject to the other provisions of this title, if the health services that are available to an injured worker under RCW 51.36.010 include purchase of a hearing instrument, then the health services that are available must also include replacement of such hearing instrument with a new, nonrefurbished instrument at least once every five years. Such replacement must also include related services necessary to assess, select, and fit the hearing instrument.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purposes of this section, "hearing instrument" has the meaning given in RCW 18.35.010.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a7b34f147fa44f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6232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38920174844ee" /><Relationship Type="http://schemas.openxmlformats.org/officeDocument/2006/relationships/footer" Target="/word/footer.xml" Id="R6a7b34f147fa44fc" /></Relationships>
</file>