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d9a35490bb4f91" /></Relationships>
</file>

<file path=word/document.xml><?xml version="1.0" encoding="utf-8"?>
<w:document xmlns:w="http://schemas.openxmlformats.org/wordprocessingml/2006/main">
  <w:body>
    <w:p>
      <w:r>
        <w:t>S-3537.1</w:t>
      </w:r>
    </w:p>
    <w:p>
      <w:pPr>
        <w:jc w:val="center"/>
      </w:pPr>
      <w:r>
        <w:t>_______________________________________________</w:t>
      </w:r>
    </w:p>
    <w:p/>
    <w:p>
      <w:pPr>
        <w:jc w:val="center"/>
      </w:pPr>
      <w:r>
        <w:rPr>
          <w:b/>
        </w:rPr>
        <w:t>SENATE BILL 6202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Liias, Miloscia, Hunt, and Keiser</w:t>
      </w:r>
    </w:p>
    <w:p/>
    <w:p>
      <w:r>
        <w:rPr>
          <w:t xml:space="preserve">Read first time 01/10/18.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integrity of elections through strengthening election security practices around auditing and equipment; amending RCW 29A.60.185, 29A.60.170, 29A.60.110, and 29A.12.005; adding new sections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our elections have the utmost confidence of the citizens of the state. In order to ensure the integrity of the elections in Washington, the legislature wants to maximize the security benefits of having locally run, decentralized counting systems in our state, based in thirty-nine different counties. The legislature wants to maximize this locally run benefit by adding options to the auditing process for local elections administrators. Multiple jurisdictions, with multiple options for ensuring election outcomes will increase the transparency, integrity, and trust of our elections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2005 c 242 s 5 are each amended to read as follows:</w:t>
      </w:r>
    </w:p>
    <w:p>
      <w:pPr>
        <w:spacing w:before="0" w:after="0" w:line="408" w:lineRule="exact"/>
        <w:ind w:left="0" w:right="0" w:firstLine="576"/>
        <w:jc w:val="left"/>
      </w:pPr>
      <w:r>
        <w:rPr>
          <w:u w:val="single"/>
        </w:rPr>
        <w:t xml:space="preserve">(1)</w:t>
      </w:r>
      <w:r>
        <w:rPr/>
        <w:t xml:space="preserve"> Prior to certification of the election as required by RCW 29A.60.190, the county auditor shall conduct </w:t>
      </w:r>
      <w:r>
        <w:rPr>
          <w:u w:val="single"/>
        </w:rPr>
        <w:t xml:space="preserve">an audit using at minimum one of the following methods:</w:t>
      </w:r>
    </w:p>
    <w:p>
      <w:pPr>
        <w:spacing w:before="0" w:after="0" w:line="408" w:lineRule="exact"/>
        <w:ind w:left="0" w:right="0" w:firstLine="576"/>
        <w:jc w:val="left"/>
      </w:pPr>
      <w:r>
        <w:rPr>
          <w:u w:val="single"/>
        </w:rPr>
        <w:t xml:space="preserve">(a) A</w:t>
      </w:r>
      <w:r>
        <w:rPr/>
        <w:t xml:space="preserve">n audit of results of votes cast on the direct recording electronic voting devices</w:t>
      </w:r>
      <w:r>
        <w:rPr>
          <w:u w:val="single"/>
        </w:rPr>
        <w:t xml:space="preserve">, or other in-person ballot marking systems,</w:t>
      </w:r>
      <w:r>
        <w:rPr/>
        <w:t xml:space="preserve"> used in the county </w:t>
      </w:r>
      <w:r>
        <w:rPr>
          <w:u w:val="single"/>
        </w:rPr>
        <w:t xml:space="preserve">if there are races or issues with more than ten votes cast on all direct recording electronic voting devices or other in-person ballot marking systems in the county, or the number of votes cast on the devices or systems is statistically significant in relation to the election result</w:t>
      </w:r>
      <w:r>
        <w:rPr/>
        <w:t xml:space="preserve">. This audit must be conducted by randomly selecting by lot up to four percent of the direct recording electronic voting devices </w:t>
      </w:r>
      <w:r>
        <w:rPr>
          <w:u w:val="single"/>
        </w:rPr>
        <w:t xml:space="preserve">or other in-person ballot marking systems,</w:t>
      </w:r>
      <w:r>
        <w:rPr/>
        <w:t xml:space="preserve"> or one direct recording electronic voting device </w:t>
      </w:r>
      <w:r>
        <w:rPr>
          <w:u w:val="single"/>
        </w:rPr>
        <w:t xml:space="preserve">or other in-person ballot marking system</w:t>
      </w:r>
      <w:r>
        <w:rPr/>
        <w:t xml:space="preserve">, whichever is greater, and, for each device </w:t>
      </w:r>
      <w:r>
        <w:rPr>
          <w:u w:val="single"/>
        </w:rPr>
        <w:t xml:space="preserve">or system</w:t>
      </w:r>
      <w:r>
        <w:rPr/>
        <w:t xml:space="preserve">, comparing the results recorded electronically with the results recorded on paper. For purposes of this audit, the results recorded on paper must be tabulated as follows: On one-fourth of the devices </w:t>
      </w:r>
      <w:r>
        <w:rPr>
          <w:u w:val="single"/>
        </w:rPr>
        <w:t xml:space="preserve">or systems</w:t>
      </w:r>
      <w:r>
        <w:rPr/>
        <w:t xml:space="preserve"> selected for audit, the paper records must be tabulated manually; on the remaining devices </w:t>
      </w:r>
      <w:r>
        <w:rPr>
          <w:u w:val="single"/>
        </w:rPr>
        <w:t xml:space="preserve">or systems</w:t>
      </w:r>
      <w:r>
        <w:rPr/>
        <w:t xml:space="preserve">,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w:t>
      </w:r>
      <w:r>
        <w:rPr>
          <w:u w:val="single"/>
        </w:rPr>
        <w:t xml:space="preserve">or system</w:t>
      </w:r>
      <w:r>
        <w:rPr/>
        <w:t xml:space="preserve">. This audit procedure must be subject to observation by political party representatives if representatives have been appointed and are present at the time of the audit</w:t>
      </w:r>
      <w:r>
        <w:rPr>
          <w:u w:val="single"/>
        </w:rPr>
        <w:t xml:space="preserve">;</w:t>
      </w:r>
    </w:p>
    <w:p>
      <w:pPr>
        <w:spacing w:before="0" w:after="0" w:line="408" w:lineRule="exact"/>
        <w:ind w:left="0" w:right="0" w:firstLine="576"/>
        <w:jc w:val="left"/>
      </w:pPr>
      <w:r>
        <w:rPr>
          <w:u w:val="single"/>
        </w:rPr>
        <w:t xml:space="preserve">(b) A random check of the ballot counting equipment consistent with RCW 29A.60.170(3);</w:t>
      </w:r>
    </w:p>
    <w:p>
      <w:pPr>
        <w:spacing w:before="0" w:after="0" w:line="408" w:lineRule="exact"/>
        <w:ind w:left="0" w:right="0" w:firstLine="576"/>
        <w:jc w:val="left"/>
      </w:pPr>
      <w:r>
        <w:rPr>
          <w:u w:val="single"/>
        </w:rPr>
        <w:t xml:space="preserve">(c)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u w:val="singl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u w:val="single"/>
        </w:rPr>
        <w:t xml:space="preserve">(ii) Select for audit at least one statewide contest, and for each county at least one ballot contest other than the selected statewide contest. The secretary of state shall select other ballot contests for audit if in any particular election there is no statewide contest; and</w:t>
      </w:r>
    </w:p>
    <w:p>
      <w:pPr>
        <w:spacing w:before="0" w:after="0" w:line="408" w:lineRule="exact"/>
        <w:ind w:left="0" w:right="0" w:firstLine="576"/>
        <w:jc w:val="left"/>
      </w:pPr>
      <w:r>
        <w:rPr>
          <w:u w:val="singl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w:t>
      </w:r>
    </w:p>
    <w:p>
      <w:pPr>
        <w:spacing w:before="0" w:after="0" w:line="408" w:lineRule="exact"/>
        <w:ind w:left="0" w:right="0" w:firstLine="576"/>
        <w:jc w:val="left"/>
      </w:pPr>
      <w:r>
        <w:rPr>
          <w:u w:val="singl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u w:val="singl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u w:val="single"/>
        </w:rPr>
        <w:t xml:space="preserve">(d)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u w:val="single"/>
        </w:rPr>
        <w:t xml:space="preserve">(i) Approved by the secretary of state;</w:t>
      </w:r>
    </w:p>
    <w:p>
      <w:pPr>
        <w:spacing w:before="0" w:after="0" w:line="408" w:lineRule="exact"/>
        <w:ind w:left="0" w:right="0" w:firstLine="576"/>
        <w:jc w:val="left"/>
      </w:pPr>
      <w:r>
        <w:rPr>
          <w:u w:val="single"/>
        </w:rPr>
        <w:t xml:space="preserve">(ii) Completely independent from all voting systems, including ballot counting equipment, that is used in the county;</w:t>
      </w:r>
    </w:p>
    <w:p>
      <w:pPr>
        <w:spacing w:before="0" w:after="0" w:line="408" w:lineRule="exact"/>
        <w:ind w:left="0" w:right="0" w:firstLine="576"/>
        <w:jc w:val="left"/>
      </w:pPr>
      <w:r>
        <w:rPr>
          <w:u w:val="singl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u w:val="singl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u w:val="single"/>
        </w:rPr>
        <w:t xml:space="preserve">(2)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w:t>
      </w:r>
    </w:p>
    <w:p>
      <w:pPr>
        <w:spacing w:before="0" w:after="0" w:line="408" w:lineRule="exact"/>
        <w:ind w:left="0" w:right="0" w:firstLine="576"/>
        <w:jc w:val="left"/>
      </w:pPr>
      <w:r>
        <w:rPr>
          <w:u w:val="single"/>
        </w:rPr>
        <w:t xml:space="preserve">(3) At the discretion of the county auditor or upon a written request of a candidate, an officer of a political party, or any group of five or more registered voters, an additional number of ballots may be audited to supplement the audits conducted under this section. An application for a supplemental audit must be filed with the officer with whom filings are made for the jurisdiction. The person filing an application for a supplemental audit is subject to the same cost structure as for recounts under RCW 29A.64.030 and 29A.64.081. The secretary of state shall determine the initial number of additional ballots that may be audited. If a discrepancy is found after a supplemental audit is performed, procedures adopted under subsection (2) of this section must be followed.</w:t>
      </w:r>
    </w:p>
    <w:p>
      <w:pPr>
        <w:spacing w:before="0" w:after="0" w:line="408" w:lineRule="exact"/>
        <w:ind w:left="0" w:right="0" w:firstLine="576"/>
        <w:jc w:val="left"/>
      </w:pPr>
      <w:r>
        <w:rPr>
          <w:u w:val="single"/>
        </w:rPr>
        <w:t xml:space="preserve">(4) The secretary of state must establish rules by January 1, 2019, to implement and administer the auditing methods in this section, including facilitating public observation and reporting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2011 c 10 s 55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may be conducted upon mutual agreement of the political party observers or at the discretion of the county auditor. The random check procedures must be adopted by the county canvassing board</w:t>
      </w:r>
      <w:r>
        <w:rPr>
          <w:u w:val="single"/>
        </w:rPr>
        <w:t xml:space="preserve">, and consistent with rules adopted under RCW 29A.60.185(4),</w:t>
      </w:r>
      <w:r>
        <w:rPr/>
        <w:t xml:space="preserve"> prior to the processing of ballots. The random check process shall involve a comparison of a manual count </w:t>
      </w:r>
      <w:r>
        <w:rPr>
          <w:u w:val="single"/>
        </w:rPr>
        <w:t xml:space="preserve">or electronic count if an audit under RCW 29A.60.185(1)(d) is conducted</w:t>
      </w:r>
      <w:r>
        <w:rPr/>
        <w:t xml:space="preserve"> to the machine count </w:t>
      </w:r>
      <w:r>
        <w:rPr>
          <w:u w:val="single"/>
        </w:rPr>
        <w:t xml:space="preserve">from the original ballot counting equipment</w:t>
      </w:r>
      <w:r>
        <w:rPr/>
        <w:t xml:space="preserve">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w:t>
      </w:r>
      <w:r>
        <w:t>((</w:t>
      </w:r>
      <w:r>
        <w:rPr>
          <w:strike/>
        </w:rPr>
        <w:t xml:space="preserve">and</w:t>
      </w:r>
      <w:r>
        <w:t>))</w:t>
      </w:r>
      <w:r>
        <w:rPr>
          <w:u w:val="single"/>
        </w:rPr>
        <w:t xml:space="preserve">. The random check procedures must include a process, consistent with RCW 29A.60.185(2)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T</w:t>
      </w:r>
      <w:r>
        <w:rPr/>
        <w:t xml:space="preserve">he check must be completed no later than forty-eight hours after election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2013 c 11 s 61 are each amended to read as follows:</w:t>
      </w:r>
    </w:p>
    <w:p>
      <w:pPr>
        <w:spacing w:before="0" w:after="0" w:line="408" w:lineRule="exact"/>
        <w:ind w:left="0" w:right="0" w:firstLine="576"/>
        <w:jc w:val="left"/>
      </w:pPr>
      <w:r>
        <w:rPr>
          <w:u w:val="single"/>
        </w:rPr>
        <w:t xml:space="preserve">(1)</w:t>
      </w:r>
      <w:r>
        <w:rPr/>
        <w:t xml:space="preserve">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u w:val="single"/>
        </w:rPr>
        <w:t xml:space="preserve">(2)</w:t>
      </w:r>
      <w:r>
        <w:rPr/>
        <w:t xml:space="preserve">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w:t>
      </w:r>
      <w:r>
        <w:rPr>
          <w:u w:val="single"/>
        </w:rPr>
        <w:t xml:space="preserve">to conduct an audit under RCW 29A.60.185,</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005</w:t>
      </w:r>
      <w:r>
        <w:rPr/>
        <w:t xml:space="preserve"> and 2013 c 11 s 21 are each amended to read as follows:</w:t>
      </w:r>
    </w:p>
    <w:p>
      <w:pPr>
        <w:spacing w:before="0" w:after="0" w:line="408" w:lineRule="exact"/>
        <w:ind w:left="0" w:right="0" w:firstLine="576"/>
        <w:jc w:val="left"/>
      </w:pPr>
      <w:r>
        <w:rPr/>
        <w:t xml:space="preserve">As used in this chapter, "voting system" means:</w:t>
      </w:r>
    </w:p>
    <w:p>
      <w:pPr>
        <w:spacing w:before="0" w:after="0" w:line="408" w:lineRule="exact"/>
        <w:ind w:left="0" w:right="0" w:firstLine="576"/>
        <w:jc w:val="left"/>
      </w:pPr>
      <w:r>
        <w:rPr/>
        <w:t xml:space="preserve">(1) The total combination of mechanical, electromechanical, or electronic equipment including, but not limited to, the software, firmware, and documentation required to program, control, and support the equipment, that is used:</w:t>
      </w:r>
    </w:p>
    <w:p>
      <w:pPr>
        <w:spacing w:before="0" w:after="0" w:line="408" w:lineRule="exact"/>
        <w:ind w:left="0" w:right="0" w:firstLine="576"/>
        <w:jc w:val="left"/>
      </w:pPr>
      <w:r>
        <w:rPr/>
        <w:t xml:space="preserve">(a) To define ballots;</w:t>
      </w:r>
    </w:p>
    <w:p>
      <w:pPr>
        <w:spacing w:before="0" w:after="0" w:line="408" w:lineRule="exact"/>
        <w:ind w:left="0" w:right="0" w:firstLine="576"/>
        <w:jc w:val="left"/>
      </w:pPr>
      <w:r>
        <w:rPr/>
        <w:t xml:space="preserve">(b) To cast and count votes;</w:t>
      </w:r>
    </w:p>
    <w:p>
      <w:pPr>
        <w:spacing w:before="0" w:after="0" w:line="408" w:lineRule="exact"/>
        <w:ind w:left="0" w:right="0" w:firstLine="576"/>
        <w:jc w:val="left"/>
      </w:pPr>
      <w:r>
        <w:rPr/>
        <w:t xml:space="preserve">(c) To report or display election results from the voting system; </w:t>
      </w:r>
      <w:r>
        <w:t>((</w:t>
      </w:r>
      <w:r>
        <w:rPr>
          <w:strike/>
        </w:rPr>
        <w:t xml:space="preserve">and</w:t>
      </w:r>
      <w:r>
        <w:t>))</w:t>
      </w:r>
    </w:p>
    <w:p>
      <w:pPr>
        <w:spacing w:before="0" w:after="0" w:line="408" w:lineRule="exact"/>
        <w:ind w:left="0" w:right="0" w:firstLine="576"/>
        <w:jc w:val="left"/>
      </w:pPr>
      <w:r>
        <w:rPr/>
        <w:t xml:space="preserve">(d) To maintain and produce any audit trail information; and</w:t>
      </w:r>
    </w:p>
    <w:p>
      <w:pPr>
        <w:spacing w:before="0" w:after="0" w:line="408" w:lineRule="exact"/>
        <w:ind w:left="0" w:right="0" w:firstLine="576"/>
        <w:jc w:val="left"/>
      </w:pPr>
      <w:r>
        <w:rPr>
          <w:u w:val="single"/>
        </w:rPr>
        <w:t xml:space="preserve">(e) To perform an audit under RCW 29A.60.185; and</w:t>
      </w:r>
    </w:p>
    <w:p>
      <w:pPr>
        <w:spacing w:before="0" w:after="0" w:line="408" w:lineRule="exact"/>
        <w:ind w:left="0" w:right="0" w:firstLine="576"/>
        <w:jc w:val="left"/>
      </w:pPr>
      <w:r>
        <w:rPr/>
        <w:t xml:space="preserve">(2) The practices and associated documentation used:</w:t>
      </w:r>
    </w:p>
    <w:p>
      <w:pPr>
        <w:spacing w:before="0" w:after="0" w:line="408" w:lineRule="exact"/>
        <w:ind w:left="0" w:right="0" w:firstLine="576"/>
        <w:jc w:val="left"/>
      </w:pPr>
      <w:r>
        <w:rPr/>
        <w:t xml:space="preserve">(a) To identify system components and versions of such components;</w:t>
      </w:r>
    </w:p>
    <w:p>
      <w:pPr>
        <w:spacing w:before="0" w:after="0" w:line="408" w:lineRule="exact"/>
        <w:ind w:left="0" w:right="0" w:firstLine="576"/>
        <w:jc w:val="left"/>
      </w:pPr>
      <w:r>
        <w:rPr/>
        <w:t xml:space="preserve">(b) To test the system during its development and maintenance;</w:t>
      </w:r>
    </w:p>
    <w:p>
      <w:pPr>
        <w:spacing w:before="0" w:after="0" w:line="408" w:lineRule="exact"/>
        <w:ind w:left="0" w:right="0" w:firstLine="576"/>
        <w:jc w:val="left"/>
      </w:pPr>
      <w:r>
        <w:rPr/>
        <w:t xml:space="preserve">(c) To maintain records of system errors and defects;</w:t>
      </w:r>
    </w:p>
    <w:p>
      <w:pPr>
        <w:spacing w:before="0" w:after="0" w:line="408" w:lineRule="exact"/>
        <w:ind w:left="0" w:right="0" w:firstLine="576"/>
        <w:jc w:val="left"/>
      </w:pPr>
      <w:r>
        <w:rPr/>
        <w:t xml:space="preserve">(d) To determine specific system changes to be made to a system after the initial qualification of the system; and</w:t>
      </w:r>
    </w:p>
    <w:p>
      <w:pPr>
        <w:spacing w:before="0" w:after="0" w:line="408" w:lineRule="exact"/>
        <w:ind w:left="0" w:right="0" w:firstLine="576"/>
        <w:jc w:val="left"/>
      </w:pPr>
      <w:r>
        <w:rPr/>
        <w:t xml:space="preserve">(e) To make available any materials to the voter such as notices, instructions, forms, or paper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Notification under subsection (1) of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may decertify a voting system or any component of a voting system and withdraw authority for its future use or sale in the state if, at any time after certification, the secretary of state determines it no longer conforms with the requirements of this title, applicable rules adopted in accordance with this title, or generally accepted safety requirements.</w:t>
      </w:r>
    </w:p>
    <w:p>
      <w:pPr>
        <w:spacing w:before="0" w:after="0" w:line="408" w:lineRule="exact"/>
        <w:ind w:left="0" w:right="0" w:firstLine="576"/>
        <w:jc w:val="left"/>
      </w:pPr>
      <w:r>
        <w:rPr/>
        <w:t xml:space="preserve">(2) The secretary of state must decertify a voting system or any component of a voting system and withdraw authority for its future use or sale in the state if the manufacturer or distributor of the voting system or component thereof fails to comply with the notification requirements of section 6 of this act.</w:t>
      </w:r>
    </w:p>
    <w:p/>
    <w:p>
      <w:pPr>
        <w:jc w:val="center"/>
      </w:pPr>
      <w:r>
        <w:rPr>
          <w:b/>
        </w:rPr>
        <w:t>--- END ---</w:t>
      </w:r>
    </w:p>
    <w:sectPr>
      <w:pgNumType w:start="1"/>
      <w:footerReference xmlns:r="http://schemas.openxmlformats.org/officeDocument/2006/relationships" r:id="Rd4399347ac8a4e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9038ee7dcd4197" /><Relationship Type="http://schemas.openxmlformats.org/officeDocument/2006/relationships/footer" Target="/word/footer.xml" Id="Rd4399347ac8a4e5e" /></Relationships>
</file>