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41bd40142434b" /></Relationships>
</file>

<file path=word/document.xml><?xml version="1.0" encoding="utf-8"?>
<w:document xmlns:w="http://schemas.openxmlformats.org/wordprocessingml/2006/main">
  <w:body>
    <w:p>
      <w:r>
        <w:t>S-3654.1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Rivers, Palumbo, and Mullet</w:t>
      </w:r>
    </w:p>
    <w:p/>
    <w:p>
      <w:r>
        <w:rPr>
          <w:t xml:space="preserve">Read first time 01/10/18.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reasonable terms of payment are available to marijuana retailers when contracting with marijuana processors for the purchase of marijuana products; and amending RCW 69.50.395.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395</w:t>
      </w:r>
      <w:r>
        <w:rPr/>
        <w:t xml:space="preserve"> and 2017 c 317 s 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</w:t>
      </w:r>
      <w:r>
        <w:rPr>
          <w:u w:val="single"/>
        </w:rPr>
        <w:t xml:space="preserve">(a)</w:t>
      </w:r>
      <w:r>
        <w:rPr/>
        <w:t xml:space="preserve"> A licensed marijuana business may enter into a licensing agreement, or consulting contract, with any individual, partnership, employee cooperative, association, nonprofit corporation, or corporation, for: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(a)</w:t>
      </w:r>
      <w:r>
        <w:t>))</w:t>
      </w:r>
      <w:r>
        <w:rPr/>
        <w:t xml:space="preserve"> </w:t>
      </w:r>
      <w:r>
        <w:rPr>
          <w:u w:val="single"/>
        </w:rPr>
        <w:t xml:space="preserve">(i)</w:t>
      </w:r>
      <w:r>
        <w:rPr/>
        <w:t xml:space="preserve"> Any goods or services that are registered as a trademark under federal law or under chapter 19.77 RCW;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(b)</w:t>
      </w:r>
      <w:r>
        <w:t>))</w:t>
      </w:r>
      <w:r>
        <w:rPr/>
        <w:t xml:space="preserve"> </w:t>
      </w:r>
      <w:r>
        <w:rPr>
          <w:u w:val="single"/>
        </w:rPr>
        <w:t xml:space="preserve">(ii)</w:t>
      </w:r>
      <w:r>
        <w:rPr/>
        <w:t xml:space="preserve"> Any unregistered trademark, trade name, or trade dress; or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(c)</w:t>
      </w:r>
      <w:r>
        <w:t>))</w:t>
      </w:r>
      <w:r>
        <w:rPr/>
        <w:t xml:space="preserve"> </w:t>
      </w:r>
      <w:r>
        <w:rPr>
          <w:u w:val="single"/>
        </w:rPr>
        <w:t xml:space="preserve">(iii)</w:t>
      </w:r>
      <w:r>
        <w:rPr/>
        <w:t xml:space="preserve"> Any trade secret, technology, or proprietary information used to manufacture a cannabis product or used to provide a service related to a marijuana business.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(b)</w:t>
      </w:r>
      <w:r>
        <w:rPr/>
        <w:t xml:space="preserve"> All agreements or contracts entered into by a licensed marijuana business, as authorized under this section, must be disclosed to the state liquor and cannabis board.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(2)(a) A contract between a marijuana processor and a marijuana retailer for the purchase and sale of marijuana products: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May allow the marijuana retailer to tender full or final payment to the marijuana processor on a date after the date the marijuana products are delivered to or received by the marijuana retailer;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Must require the marijuana retailer to tender full or final payment to the marijuana processor on a date not more than fifteen calendar days after the date the marijuana products are delivered to or received by the marijuana retailer.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This subsection (2) applies to contracts entered or renewed on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12914f7f95446a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cbe6a04a4ea5" /><Relationship Type="http://schemas.openxmlformats.org/officeDocument/2006/relationships/footer" Target="/word/footer.xml" Id="R412914f7f95446aa" /></Relationships>
</file>