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198c11fe154076" /></Relationships>
</file>

<file path=word/document.xml><?xml version="1.0" encoding="utf-8"?>
<w:document xmlns:w="http://schemas.openxmlformats.org/wordprocessingml/2006/main">
  <w:body>
    <w:p>
      <w:r>
        <w:t>S-4401.1</w:t>
      </w:r>
    </w:p>
    <w:p>
      <w:pPr>
        <w:jc w:val="center"/>
      </w:pPr>
      <w:r>
        <w:t>_______________________________________________</w:t>
      </w:r>
    </w:p>
    <w:p/>
    <w:p>
      <w:pPr>
        <w:jc w:val="center"/>
      </w:pPr>
      <w:r>
        <w:rPr>
          <w:b/>
        </w:rPr>
        <w:t>SUBSTITUTE SENATE BILL 6161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State Government, Tribal Relations &amp; Elections (originally sponsored by Senators Becker, Hunt, Fain, Rivers, Kuderer, Saldaña, Zeiger, Bailey, Carlyle, Conway, Wilson, Rolfes, Wellman, Hasegawa, Honeyford, Darneille, Angel, Liias, Walsh, O'Ban, Sheldon, Palumbo, Fortunato, Hobbs, Short, Mullet, Van De Wege, and Wagoner)</w:t>
      </w:r>
    </w:p>
    <w:p/>
    <w:p>
      <w:r>
        <w:rPr>
          <w:t xml:space="preserve">READ FIRST TIME 01/29/18.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training course for campaign treasurers; reenacting and amending RCW 42.17A.210; and adding a new section to chapter 42.17A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By September 1, 2018, the commission must develop and provide a training course for individuals acting as treasurers or deputy treasurers for candidates pursuant to RCW 42.17A.210. The course must provide, at a minimum, a comprehensive overview of:</w:t>
      </w:r>
    </w:p>
    <w:p>
      <w:pPr>
        <w:spacing w:before="0" w:after="0" w:line="408" w:lineRule="exact"/>
        <w:ind w:left="0" w:right="0" w:firstLine="576"/>
        <w:jc w:val="left"/>
      </w:pPr>
      <w:r>
        <w:rPr/>
        <w:t xml:space="preserve">(a) The responsibilities of treasurers and deputy treasurers;</w:t>
      </w:r>
    </w:p>
    <w:p>
      <w:pPr>
        <w:spacing w:before="0" w:after="0" w:line="408" w:lineRule="exact"/>
        <w:ind w:left="0" w:right="0" w:firstLine="576"/>
        <w:jc w:val="left"/>
      </w:pPr>
      <w:r>
        <w:rPr/>
        <w:t xml:space="preserve">(b) The reporting requirements necessary for candidate compliance with this chapter, including triggers and deadlines for reporting;</w:t>
      </w:r>
    </w:p>
    <w:p>
      <w:pPr>
        <w:spacing w:before="0" w:after="0" w:line="408" w:lineRule="exact"/>
        <w:ind w:left="0" w:right="0" w:firstLine="576"/>
        <w:jc w:val="left"/>
      </w:pPr>
      <w:r>
        <w:rPr/>
        <w:t xml:space="preserve">(c) Candidate campaign contribution limits and restrictions under this chapter;</w:t>
      </w:r>
    </w:p>
    <w:p>
      <w:pPr>
        <w:spacing w:before="0" w:after="0" w:line="408" w:lineRule="exact"/>
        <w:ind w:left="0" w:right="0" w:firstLine="576"/>
        <w:jc w:val="left"/>
      </w:pPr>
      <w:r>
        <w:rPr/>
        <w:t xml:space="preserve">(d) The use of the commission's electronic filing system;</w:t>
      </w:r>
    </w:p>
    <w:p>
      <w:pPr>
        <w:spacing w:before="0" w:after="0" w:line="408" w:lineRule="exact"/>
        <w:ind w:left="0" w:right="0" w:firstLine="576"/>
        <w:jc w:val="left"/>
      </w:pPr>
      <w:r>
        <w:rPr/>
        <w:t xml:space="preserve">(e) The consequences for violation of this chapter; and</w:t>
      </w:r>
    </w:p>
    <w:p>
      <w:pPr>
        <w:spacing w:before="0" w:after="0" w:line="408" w:lineRule="exact"/>
        <w:ind w:left="0" w:right="0" w:firstLine="576"/>
        <w:jc w:val="left"/>
      </w:pPr>
      <w:r>
        <w:rPr/>
        <w:t xml:space="preserve">(f) Any other subjects or topics the commission deems necessary for encouraging effective compliance with this chapter.</w:t>
      </w:r>
    </w:p>
    <w:p>
      <w:pPr>
        <w:spacing w:before="0" w:after="0" w:line="408" w:lineRule="exact"/>
        <w:ind w:left="0" w:right="0" w:firstLine="576"/>
        <w:jc w:val="left"/>
      </w:pPr>
      <w:r>
        <w:rPr/>
        <w:t xml:space="preserve">(2) The commission must make the course available to all interested individuals no later than September 1, 2018. The course must be provided in a format able to be used both in person and remotely.</w:t>
      </w:r>
    </w:p>
    <w:p>
      <w:pPr>
        <w:spacing w:before="0" w:after="0" w:line="408" w:lineRule="exact"/>
        <w:ind w:left="0" w:right="0" w:firstLine="576"/>
        <w:jc w:val="left"/>
      </w:pPr>
      <w:r>
        <w:rPr/>
        <w:t xml:space="preserve">(3) The commission must determine the requirements for course completion. Those individuals who complete the training course shall be deemed "certified" by the commission and such certification shall last five years from the date issued. The commission must develop a system to track individuals' certification status.</w:t>
      </w:r>
    </w:p>
    <w:p>
      <w:pPr>
        <w:spacing w:before="0" w:after="0" w:line="408" w:lineRule="exact"/>
        <w:ind w:left="0" w:right="0" w:firstLine="576"/>
        <w:jc w:val="left"/>
      </w:pPr>
      <w:r>
        <w:rPr/>
        <w:t xml:space="preserve">(4) Beginning May 1, 2019, no individual, other than a candidate for that office, may serve as a treasurer or deputy treasurer unless the individual has been deemed certified by the commission pursuant to this section within the past five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210</w:t>
      </w:r>
      <w:r>
        <w:rPr/>
        <w:t xml:space="preserve"> and 2010 c 205 s 2 and 2010 c 204 s 403 are each reenacted and amended to read as follows:</w:t>
      </w:r>
    </w:p>
    <w:p>
      <w:pPr>
        <w:spacing w:before="0" w:after="0" w:line="408" w:lineRule="exact"/>
        <w:ind w:left="0" w:right="0" w:firstLine="576"/>
        <w:jc w:val="left"/>
      </w:pPr>
      <w:r>
        <w:rPr/>
        <w:t xml:space="preserve">(1) Each candidate, within two weeks after becoming a candidate, and each political committee, at the time it is required to file a statement of organization, shall designate and file with the commission the name and address of one legally competent individual, who may be the candidate, to serve as a treasurer.</w:t>
      </w:r>
    </w:p>
    <w:p>
      <w:pPr>
        <w:spacing w:before="0" w:after="0" w:line="408" w:lineRule="exact"/>
        <w:ind w:left="0" w:right="0" w:firstLine="576"/>
        <w:jc w:val="left"/>
      </w:pPr>
      <w:r>
        <w:rPr/>
        <w:t xml:space="preserve">(2) A candidate, a political committee, or a treasurer may appoint as many deputy treasurers as is considered necessary and shall file the names and addresses of the deputy treasurers with the commission.</w:t>
      </w:r>
    </w:p>
    <w:p>
      <w:pPr>
        <w:spacing w:before="0" w:after="0" w:line="408" w:lineRule="exact"/>
        <w:ind w:left="0" w:right="0" w:firstLine="576"/>
        <w:jc w:val="left"/>
      </w:pPr>
      <w:r>
        <w:rPr/>
        <w:t xml:space="preserve">(3)(a) A candidate or political committee may at any time remove a treasurer or deputy treasurer.</w:t>
      </w:r>
    </w:p>
    <w:p>
      <w:pPr>
        <w:spacing w:before="0" w:after="0" w:line="408" w:lineRule="exact"/>
        <w:ind w:left="0" w:right="0" w:firstLine="576"/>
        <w:jc w:val="left"/>
      </w:pPr>
      <w:r>
        <w:rPr/>
        <w:t xml:space="preserve">(b) In the event of the death, resignation, removal, or change of a treasurer or deputy treasurer, the candidate or political committee shall designate and file with the commission the name and address of any successor.</w:t>
      </w:r>
    </w:p>
    <w:p>
      <w:pPr>
        <w:spacing w:before="0" w:after="0" w:line="408" w:lineRule="exact"/>
        <w:ind w:left="0" w:right="0" w:firstLine="576"/>
        <w:jc w:val="left"/>
      </w:pPr>
      <w:r>
        <w:rPr/>
        <w:t xml:space="preserve">(4)</w:t>
      </w:r>
      <w:r>
        <w:rPr>
          <w:u w:val="single"/>
        </w:rPr>
        <w:t xml:space="preserve">(a)</w:t>
      </w:r>
      <w:r>
        <w:rPr/>
        <w:t xml:space="preserve"> No treasurer or deputy treasurer may be deemed to be in compliance with the provisions of this chapter until his or her name and address is filed with the commission.</w:t>
      </w:r>
    </w:p>
    <w:p>
      <w:pPr>
        <w:spacing w:before="0" w:after="0" w:line="408" w:lineRule="exact"/>
        <w:ind w:left="0" w:right="0" w:firstLine="576"/>
        <w:jc w:val="left"/>
      </w:pPr>
      <w:r>
        <w:rPr>
          <w:u w:val="single"/>
        </w:rPr>
        <w:t xml:space="preserve">(b) After May 1, 2019, no treasurer or deputy treasurer, other than a candidate, may be deemed to be in compliance with the provisions of this chapter until his or her name and address is filed with the commission and he or she is trained and currently certified by the commission pursuant to section 1 of this act, unless the candidate or political committee does not expect to receive contributions or make expenditures of more than five thousand dollars.</w:t>
      </w:r>
    </w:p>
    <w:p/>
    <w:p>
      <w:pPr>
        <w:jc w:val="center"/>
      </w:pPr>
      <w:r>
        <w:rPr>
          <w:b/>
        </w:rPr>
        <w:t>--- END ---</w:t>
      </w:r>
    </w:p>
    <w:sectPr>
      <w:pgNumType w:start="1"/>
      <w:footerReference xmlns:r="http://schemas.openxmlformats.org/officeDocument/2006/relationships" r:id="R149476dde7e14a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509e44cf8d4196" /><Relationship Type="http://schemas.openxmlformats.org/officeDocument/2006/relationships/footer" Target="/word/footer.xml" Id="R149476dde7e14ae5" /></Relationships>
</file>