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f97336dd84bc4" /></Relationships>
</file>

<file path=word/document.xml><?xml version="1.0" encoding="utf-8"?>
<w:document xmlns:w="http://schemas.openxmlformats.org/wordprocessingml/2006/main">
  <w:body>
    <w:p>
      <w:r>
        <w:t>S-4917.1</w:t>
      </w:r>
    </w:p>
    <w:p>
      <w:pPr>
        <w:jc w:val="center"/>
      </w:pPr>
      <w:r>
        <w:t>_______________________________________________</w:t>
      </w:r>
    </w:p>
    <w:p/>
    <w:p>
      <w:pPr>
        <w:jc w:val="center"/>
      </w:pPr>
      <w:r>
        <w:rPr>
          <w:b/>
        </w:rPr>
        <w:t>SECOND SUBSTITUTE SENATE BILL 6160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Kuderer, Darneille, and Palumbo)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a person is subject to exclusive adult jurisdiction and extending juvenile court jurisdiction over serious cases to age twenty-five; amending RCW 13.04.030, 13.40.0357, 13.40.110, 13.40.193, 13.40.300, and 13.40.300; reenacting and amending RCW 13.04.030; adding a new section to chapter 13.40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2099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2017 3rd sp.s. c 6 s 602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2016 c 106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Drive-By Shooting (9A.36.045)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Burglary 1 (9A.52.020)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 (iv))</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2 (9A.44.050)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 </w:t>
            </w:r>
            <w:r>
              <w:rPr>
                <w:rFonts w:ascii="Times New Roman" w:hAnsi="Times New Roman"/>
                <w:sz w:val="20"/>
                <w:u w:val="single"/>
              </w:rPr>
              <w:t xml:space="preserve">committed at age 15</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Child Molestation 1 (9A.44.083)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Robbery 1 (9A.56.200)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4 weeks</w:t>
      </w:r>
      <w:r>
        <w:t>))</w:t>
      </w:r>
      <w:r>
        <w:rPr/>
        <w:t xml:space="preserve"> </w:t>
      </w:r>
      <w:r>
        <w:rPr>
          <w:u w:val="single"/>
        </w:rPr>
        <w:t xml:space="preserve">28 days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129 to 260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30-40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t>((</w:t>
            </w:r>
            <w:r>
              <w:rPr>
                <w:rFonts w:ascii="Times New Roman" w:hAnsi="Times New Roman"/>
                <w:strike/>
                <w:sz w:val="16"/>
              </w:rPr>
              <w:t xml:space="preserve">Except 30-40 weeks</w:t>
            </w:r>
          </w:p>
          <w:p>
            <w:pPr>
              <w:spacing w:before="0" w:after="0" w:line="408" w:lineRule="exact"/>
              <w:ind w:left="0" w:right="0" w:firstLine="0"/>
              <w:jc w:val="center"/>
            </w:pPr>
            <w:r>
              <w:rPr>
                <w:rFonts w:ascii="Times New Roman" w:hAnsi="Times New Roman"/>
                <w:strike/>
                <w:sz w:val="16"/>
              </w:rPr>
              <w:t xml:space="preserve">for 15 to 17 year olds</w:t>
            </w:r>
            <w:r>
              <w:t>))</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t>((</w:t>
      </w:r>
      <w:r>
        <w:rPr>
          <w:strike/>
        </w:rPr>
        <w:t xml:space="preserve">is</w:t>
      </w:r>
      <w:r>
        <w:t>))</w:t>
      </w:r>
      <w:r>
        <w:rPr/>
        <w:t xml:space="preserve">:</w:t>
      </w:r>
    </w:p>
    <w:p>
      <w:pPr>
        <w:spacing w:before="0" w:after="0" w:line="408" w:lineRule="exact"/>
        <w:ind w:left="0" w:right="0" w:firstLine="576"/>
        <w:jc w:val="left"/>
      </w:pPr>
      <w:r>
        <w:rPr/>
        <w:t xml:space="preserve">(a) </w:t>
      </w:r>
      <w:r>
        <w:rPr>
          <w:u w:val="single"/>
        </w:rPr>
        <w:t xml:space="preserve">Is a</w:t>
      </w:r>
      <w:r>
        <w:rPr/>
        <w:t xml:space="preserve">djudicated of an A+ </w:t>
      </w:r>
      <w:r>
        <w:rPr>
          <w:u w:val="single"/>
        </w:rPr>
        <w:t xml:space="preserve">or A++</w:t>
      </w:r>
      <w:r>
        <w:rPr/>
        <w:t xml:space="preserve"> offense;</w:t>
      </w:r>
    </w:p>
    <w:p>
      <w:pPr>
        <w:spacing w:before="0" w:after="0" w:line="408" w:lineRule="exact"/>
        <w:ind w:left="0" w:right="0" w:firstLine="576"/>
        <w:jc w:val="left"/>
      </w:pPr>
      <w:r>
        <w:rPr/>
        <w:t xml:space="preserve">(b) </w:t>
      </w:r>
      <w:r>
        <w:rPr>
          <w:u w:val="single"/>
        </w:rPr>
        <w:t xml:space="preserve">Is f</w:t>
      </w:r>
      <w:r>
        <w:rPr/>
        <w:t xml:space="preserve">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t>((</w:t>
      </w:r>
      <w:r>
        <w:rPr>
          <w:strike/>
        </w:rPr>
        <w:t xml:space="preserve">or</w:t>
      </w:r>
      <w:r>
        <w:t>))</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t>((</w:t>
      </w:r>
      <w:r>
        <w:rPr>
          <w:strike/>
        </w:rPr>
        <w:t xml:space="preserve">robbery in the second degree (RCW 9A.56.210), residential burglary (RCW 9A.52.025), burglary in the second degree (RCW 9A.52.030),</w:t>
      </w:r>
      <w:r>
        <w:t>))</w:t>
      </w:r>
      <w:r>
        <w:rPr/>
        <w:t xml:space="preserve"> drive-by shooting (RCW 9A.36.045), vehicular homicide (RCW 46.61.520), hit and run death (RCW 46.52.020(4)(a)), </w:t>
      </w:r>
      <w:r>
        <w:t>((</w:t>
      </w:r>
      <w:r>
        <w:rPr>
          <w:strike/>
        </w:rPr>
        <w:t xml:space="preserve">intimidating a witness (RCW 9A.72.110), violation of the uniform controlled substances act (RCW 69.50.401 (2)(a) and (b)),</w:t>
      </w:r>
      <w:r>
        <w:t>))</w:t>
      </w:r>
      <w:r>
        <w:rPr/>
        <w:t xml:space="preserve"> or manslaughter 2 (RCW 9A.32.070)</w:t>
      </w:r>
      <w:r>
        <w:t>((</w:t>
      </w:r>
      <w:r>
        <w:rPr>
          <w:strike/>
        </w:rPr>
        <w:t xml:space="preserve">, when the offense includes infliction of bodily harm upon another or when during the commission or immediate withdrawal from the offense the respondent was armed with a deadly weapon</w:t>
      </w:r>
      <w:r>
        <w:t>))</w:t>
      </w:r>
      <w:r>
        <w:rPr/>
        <w:t xml:space="preserve">; </w:t>
      </w:r>
      <w:r>
        <w:rPr>
          <w:u w:val="single"/>
        </w:rPr>
        <w:t xml:space="preserve">or</w:t>
      </w:r>
    </w:p>
    <w:p>
      <w:pPr>
        <w:spacing w:before="0" w:after="0" w:line="408" w:lineRule="exact"/>
        <w:ind w:left="0" w:right="0" w:firstLine="576"/>
        <w:jc w:val="left"/>
      </w:pPr>
      <w:r>
        <w:rPr>
          <w:u w:val="singl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w:t>
      </w:r>
      <w:r>
        <w:rPr>
          <w:u w:val="single"/>
        </w:rPr>
        <w:t xml:space="preserve">Is o</w:t>
      </w:r>
      <w:r>
        <w:rPr/>
        <w:t xml:space="preserve">rdered to serve a disposition for a firearm violation under RCW 13.40.193; </w:t>
      </w:r>
      <w:r>
        <w:t>((</w:t>
      </w:r>
      <w:r>
        <w:rPr>
          <w:strike/>
        </w:rPr>
        <w:t xml:space="preserve">or</w:t>
      </w:r>
      <w:r>
        <w:t>))</w:t>
      </w:r>
    </w:p>
    <w:p>
      <w:pPr>
        <w:spacing w:before="0" w:after="0" w:line="408" w:lineRule="exact"/>
        <w:ind w:left="0" w:right="0" w:firstLine="576"/>
        <w:jc w:val="left"/>
      </w:pPr>
      <w:r>
        <w:rPr/>
        <w:t xml:space="preserve">(d) </w:t>
      </w:r>
      <w:r>
        <w:rPr>
          <w:u w:val="single"/>
        </w:rPr>
        <w:t xml:space="preserve">Is a</w:t>
      </w:r>
      <w:r>
        <w:rPr/>
        <w:t xml:space="preserve">djudicated of a sex offense as defined in RCW 9.94A.030</w:t>
      </w:r>
      <w:r>
        <w:rPr>
          <w:u w:val="single"/>
        </w:rPr>
        <w:t xml:space="preserve">; or</w:t>
      </w:r>
    </w:p>
    <w:p>
      <w:pPr>
        <w:spacing w:before="0" w:after="0" w:line="408" w:lineRule="exact"/>
        <w:ind w:left="0" w:right="0" w:firstLine="576"/>
        <w:jc w:val="left"/>
      </w:pPr>
      <w:r>
        <w:rPr>
          <w:u w:val="single"/>
        </w:rPr>
        <w:t xml:space="preserve">(e) Has a prior option B disposition</w:t>
      </w:r>
      <w:r>
        <w:rPr/>
        <w:t xml:space="preserve">.</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an A- or</w:t>
      </w:r>
      <w:r>
        <w:t>))</w:t>
      </w:r>
      <w:r>
        <w:rPr/>
        <w:t xml:space="preserve"> </w:t>
      </w:r>
      <w:r>
        <w:rPr>
          <w:u w:val="single"/>
        </w:rPr>
        <w:t xml:space="preserve">a B++ or</w:t>
      </w:r>
      <w:r>
        <w:rPr/>
        <w:t xml:space="preserve">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rPr>
          <w:u w:val="single"/>
        </w:rPr>
        <w:t xml:space="preserve">only if:</w:t>
      </w:r>
    </w:p>
    <w:p>
      <w:pPr>
        <w:spacing w:before="0" w:after="0" w:line="408" w:lineRule="exact"/>
        <w:ind w:left="0" w:right="0" w:firstLine="576"/>
        <w:jc w:val="left"/>
      </w:pPr>
      <w:r>
        <w:rPr>
          <w:u w:val="single"/>
        </w:rPr>
        <w:t xml:space="preserve">(a) The respondent is, at the time of proceedings, at least fifteen years of age or older and is charged with a serious violent offense as defined in RCW 9.94A.030;</w:t>
      </w:r>
    </w:p>
    <w:p>
      <w:pPr>
        <w:spacing w:before="0" w:after="0" w:line="408" w:lineRule="exact"/>
        <w:ind w:left="0" w:right="0" w:firstLine="576"/>
        <w:jc w:val="left"/>
      </w:pPr>
      <w:r>
        <w:rPr>
          <w:u w:val="single"/>
        </w:rPr>
        <w:t xml:space="preserve">(b) </w:t>
      </w:r>
      <w:r>
        <w:rPr>
          <w:u w:val="single"/>
        </w:rPr>
        <w:t xml:space="preserve">The respondent is, at the time of proceedings, at least fifteen years of age or older and is charged with rape of a child in the first degree; or</w:t>
      </w:r>
    </w:p>
    <w:p>
      <w:pPr>
        <w:spacing w:before="0" w:after="0" w:line="408" w:lineRule="exact"/>
        <w:ind w:left="0" w:right="0" w:firstLine="576"/>
        <w:jc w:val="left"/>
      </w:pPr>
      <w:r>
        <w:rPr>
          <w:u w:val="single"/>
        </w:rPr>
        <w:t xml:space="preserve">(c)</w:t>
      </w:r>
      <w:r>
        <w:rPr>
          <w:u w:val="single"/>
        </w:rPr>
        <w:t xml:space="preserve"> The respondent is, at the time of proceedings, fourteen years of age or younger and is charged with murder in the first degree (RCW 9A.32.030), and/or murder in the second degree (RCW 9A.32.050)</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r>
        <w:t>((</w:t>
      </w:r>
      <w:r>
        <w:rPr>
          <w:strike/>
        </w:rPr>
        <w:t xml:space="preserve">:</w:t>
      </w:r>
    </w:p>
    <w:p>
      <w:pPr>
        <w:spacing w:before="0" w:after="0" w:line="408" w:lineRule="exact"/>
        <w:ind w:left="0" w:right="0" w:firstLine="576"/>
        <w:jc w:val="left"/>
      </w:pPr>
      <w:r>
        <w:rPr>
          <w:strike/>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strike/>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strike/>
        </w:rPr>
        <w:t xml:space="preserve">(c)</w:t>
      </w:r>
      <w:r>
        <w:t>))</w:t>
      </w:r>
      <w:r>
        <w:rPr/>
        <w:t xml:space="preserve"> </w:t>
      </w:r>
      <w:r>
        <w:rPr>
          <w:u w:val="single"/>
        </w:rPr>
        <w:t xml:space="preserve">t</w:t>
      </w:r>
      <w:r>
        <w:rPr/>
        <w:t xml:space="preserve">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possession of a stolen firearm, drive-by shooting, theft of a firearm, unlawful possession of a firearm in the first and second degree, or use of a machine gun in a felony, the following periods of total confinement must be added to the sentence: </w:t>
      </w:r>
      <w:r>
        <w:t>((</w:t>
      </w:r>
      <w:r>
        <w:rPr>
          <w:strike/>
        </w:rPr>
        <w:t xml:space="preserve">For a</w:t>
      </w:r>
      <w:r>
        <w:t>))</w:t>
      </w:r>
      <w:r>
        <w:rPr/>
        <w:t xml:space="preserve"> </w:t>
      </w:r>
      <w:r>
        <w:rPr>
          <w:u w:val="single"/>
        </w:rPr>
        <w:t xml:space="preserve">(a) Except for (b) of this subsection, for a</w:t>
      </w:r>
      <w:r>
        <w:rPr/>
        <w:t xml:space="preserve"> class A felony, six months; for a class B felony, four months; and for a class C felony, two months</w:t>
      </w:r>
      <w:r>
        <w:rPr>
          <w:u w:val="single"/>
        </w:rPr>
        <w:t xml:space="preserve">; (b) for any violent offense as defined in RCW 9.94A.030, committed by a respondent who is sixteen or seventeen years old at the time of the offense, a period of twelve months</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department must take appropriate actions to protect younger children in confinement from older youth who may be confined pursuant to this act, recognizing both the potential for positive mentorship and the potential risks relating to victimization and the exercise of negative influence. The court may exercise oversight if needed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7 of this act take effect July 1, 2019.</w:t>
      </w:r>
    </w:p>
    <w:p/>
    <w:p>
      <w:pPr>
        <w:jc w:val="center"/>
      </w:pPr>
      <w:r>
        <w:rPr>
          <w:b/>
        </w:rPr>
        <w:t>--- END ---</w:t>
      </w:r>
    </w:p>
    <w:sectPr>
      <w:pgNumType w:start="1"/>
      <w:footerReference xmlns:r="http://schemas.openxmlformats.org/officeDocument/2006/relationships" r:id="R976605371fb940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f741865e9b49f8" /><Relationship Type="http://schemas.openxmlformats.org/officeDocument/2006/relationships/footer" Target="/word/footer.xml" Id="R976605371fb940ae" /></Relationships>
</file>