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6b8cd2634416a" /></Relationships>
</file>

<file path=word/document.xml><?xml version="1.0" encoding="utf-8"?>
<w:document xmlns:w="http://schemas.openxmlformats.org/wordprocessingml/2006/main">
  <w:body>
    <w:p>
      <w:r>
        <w:t>Z-0747.2</w:t>
      </w:r>
    </w:p>
    <w:p>
      <w:pPr>
        <w:jc w:val="center"/>
      </w:pPr>
      <w:r>
        <w:t>_______________________________________________</w:t>
      </w:r>
    </w:p>
    <w:p/>
    <w:p>
      <w:pPr>
        <w:jc w:val="center"/>
      </w:pPr>
      <w:r>
        <w:rPr>
          <w:b/>
        </w:rPr>
        <w:t>SENATE BILL 6133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Zeiger, Wellman, Keiser, Hasegawa, and Kuderer;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statewide career and technical education course equivalency options; and amending RCW 28A.700.070.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office of the superintendent of public instruction, in consultation with one or more technical working groups convened for this purpose, shall develop curriculum frameworks for a selected list of career and technical courses that may be offered by high schools or skill centers whose </w:t>
      </w:r>
      <w:r>
        <w:rPr>
          <w:u w:val="single"/>
        </w:rPr>
        <w:t xml:space="preserve">academic standards</w:t>
      </w:r>
      <w:r>
        <w:rPr/>
        <w:t xml:space="preserve"> content </w:t>
      </w:r>
      <w:r>
        <w:t>((</w:t>
      </w:r>
      <w:r>
        <w:rPr>
          <w:strike/>
        </w:rPr>
        <w:t xml:space="preserve">in science, technology, engineering, and mathematics</w:t>
      </w:r>
      <w:r>
        <w:t>))</w:t>
      </w:r>
      <w:r>
        <w:rPr/>
        <w:t xml:space="preserve"> is considered equivalent in full or in part to </w:t>
      </w:r>
      <w:r>
        <w:t>((</w:t>
      </w:r>
      <w:r>
        <w:rPr>
          <w:strike/>
        </w:rPr>
        <w:t xml:space="preserve">science or mathematics</w:t>
      </w:r>
      <w:r>
        <w:t>))</w:t>
      </w:r>
      <w:r>
        <w:rPr/>
        <w:t xml:space="preserve"> </w:t>
      </w:r>
      <w:r>
        <w:rPr>
          <w:u w:val="single"/>
        </w:rPr>
        <w:t xml:space="preserve">the academic</w:t>
      </w:r>
      <w:r>
        <w:rPr/>
        <w:t xml:space="preserve"> courses that meet high school graduation requirements. </w:t>
      </w:r>
      <w:r>
        <w:rPr>
          <w:u w:val="single"/>
        </w:rPr>
        <w:t xml:space="preserve">These courses may include equivalency to English language arts, mathematics, science, social studies, arts, world languages, or health and physical education.</w:t>
      </w:r>
      <w:r>
        <w:rPr/>
        <w:t xml:space="preserve"> The content of the courses must be aligned with </w:t>
      </w:r>
      <w:r>
        <w:t>((</w:t>
      </w:r>
      <w:r>
        <w:rPr>
          <w:strike/>
        </w:rPr>
        <w:t xml:space="preserve">state essential academic learning requirements in mathematics as adopted by the superintendent of public instruction in July 2011 and the essential academic learning requirements in science as adopted in October 2013, and</w:t>
      </w:r>
      <w:r>
        <w:t>))</w:t>
      </w:r>
      <w:r>
        <w:rPr/>
        <w:t xml:space="preserve"> </w:t>
      </w:r>
      <w:r>
        <w:rPr>
          <w:u w:val="single"/>
        </w:rPr>
        <w:t xml:space="preserve">the most current Washington K-12 learning standards in English language arts, mathematics, science, arts, world languages, health and physical education, social studies, and required</w:t>
      </w:r>
      <w:r>
        <w:rPr/>
        <w:t xml:space="preserve"> industry standards. The office shall submit the list of equivalent career and technical courses and their curriculum frameworks to the state board of education for review, an opportunity for public comment, and approval. The first list of courses under this subsection must be developed and approved before the 2015-16 school year. Thereafter, the office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office of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w:t>
      </w:r>
      <w:r>
        <w:t>((</w:t>
      </w:r>
      <w:r>
        <w:rPr>
          <w:strike/>
        </w:rPr>
        <w:t xml:space="preserve">using a research-based professional development model supported by the national research center for career and technical education</w:t>
      </w:r>
      <w:r>
        <w:t>))</w:t>
      </w:r>
      <w:r>
        <w:rPr/>
        <w:t xml:space="preserve">. The office of the superintendent of public instruction may require that grant recipients provide matching resources using federal Carl Perkins funds or other fund sources.</w:t>
      </w:r>
    </w:p>
    <w:p/>
    <w:p>
      <w:pPr>
        <w:jc w:val="center"/>
      </w:pPr>
      <w:r>
        <w:rPr>
          <w:b/>
        </w:rPr>
        <w:t>--- END ---</w:t>
      </w:r>
    </w:p>
    <w:sectPr>
      <w:pgNumType w:start="1"/>
      <w:footerReference xmlns:r="http://schemas.openxmlformats.org/officeDocument/2006/relationships" r:id="R3bc3e3cac83841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56e4e12f7f4b1c" /><Relationship Type="http://schemas.openxmlformats.org/officeDocument/2006/relationships/footer" Target="/word/footer.xml" Id="R3bc3e3cac83841cd" /></Relationships>
</file>