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62bc79e9c4a4fda" /></Relationships>
</file>

<file path=word/document.xml><?xml version="1.0" encoding="utf-8"?>
<w:document xmlns:w="http://schemas.openxmlformats.org/wordprocessingml/2006/main">
  <w:body>
    <w:p>
      <w:r>
        <w:t>S-4762.1</w:t>
      </w:r>
    </w:p>
    <w:p>
      <w:pPr>
        <w:jc w:val="center"/>
      </w:pPr>
      <w:r>
        <w:t>_______________________________________________</w:t>
      </w:r>
    </w:p>
    <w:p/>
    <w:p>
      <w:pPr>
        <w:jc w:val="center"/>
      </w:pPr>
      <w:r>
        <w:rPr>
          <w:b/>
        </w:rPr>
        <w:t>SUBSTITUTE SENATE BILL 6013</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Senate Ways &amp; Means (originally sponsored by Senators Frockt, Darneille, Keiser, Palumbo, Kuderer, and Hasegawa)</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behavioral rehabilitation services; amending RCW 43.88C.010; adding a new section to chapter 43.88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dependent children with high acuity behavioral and mental health needs require robust and consistent behavioral rehabilitation services in order to address their needs and ensure stable, permanent outcomes. The legislature also finds that a reliable network of providers is critical to ensuring our highest needs children receive prompt and appropriate services. Therefore, it is the intent of the legislature that behavioral rehabilitation services rates are established that are sufficient to assure there is enough provider capacity to serve the highest needs children.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children and families services program, of the department of social and health services through June 30, 2018, and of the department of children, youth, and families effective July 1, 2018, shall facilitate a stakeholder work group in a collaborative effort to design a behavioral rehabilitation services rate payment methodology that is based on actual provider costs of care. The work group may consider the findings of a contracted rate analysis in designing the methodology. By November 30, 2018, and in compliance with RCW 43.01.036, the department of children, youth, and families must submit a report with the final work group findings to the appropriate legislative committees.</w:t>
      </w:r>
    </w:p>
    <w:p>
      <w:pPr>
        <w:spacing w:before="0" w:after="0" w:line="408" w:lineRule="exact"/>
        <w:ind w:left="0" w:right="0" w:firstLine="576"/>
        <w:jc w:val="left"/>
      </w:pPr>
      <w:r>
        <w:rPr/>
        <w:t xml:space="preserve">(2) This section expires December 31, 2018.</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w:t>
      </w:r>
      <w:r>
        <w:t>((</w:t>
      </w:r>
      <w:r>
        <w:rPr>
          <w:strike/>
        </w:rPr>
        <w:t xml:space="preserve">43.215.405</w:t>
      </w:r>
      <w:r>
        <w:t>))</w:t>
      </w:r>
      <w:r>
        <w:rPr/>
        <w:t xml:space="preserve"> </w:t>
      </w:r>
      <w:r>
        <w:rPr>
          <w:u w:val="single"/>
        </w:rPr>
        <w:t xml:space="preserve">43.216.505</w:t>
      </w:r>
      <w:r>
        <w:rPr/>
        <w:t xml:space="preserve">,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w:t>
      </w:r>
      <w:r>
        <w:rPr>
          <w:u w:val="single"/>
        </w:rPr>
        <w:t xml:space="preserve">The caseload forecast council shall forecast the number of youth expected to receive behavioral rehabilitation services while involved in the foster care system.</w:t>
      </w:r>
    </w:p>
    <w:p>
      <w:pPr>
        <w:spacing w:before="0" w:after="0" w:line="408" w:lineRule="exact"/>
        <w:ind w:left="0" w:right="0" w:firstLine="576"/>
        <w:jc w:val="left"/>
      </w:pPr>
      <w:r>
        <w:rPr>
          <w:u w:val="single"/>
        </w:rPr>
        <w:t xml:space="preserve">(11)</w:t>
      </w:r>
      <w:r>
        <w:rPr/>
        <w:t xml:space="preserve">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w:t>
      </w:r>
      <w:r>
        <w:rPr/>
        <w:t xml:space="preserve"> RCW</w:t>
      </w:r>
      <w:r>
        <w:rPr/>
        <w:t xml:space="preserve"> to read as follows:</w:t>
      </w:r>
    </w:p>
    <w:p>
      <w:pPr>
        <w:spacing w:before="0" w:after="0" w:line="408" w:lineRule="exact"/>
        <w:ind w:left="0" w:right="0" w:firstLine="576"/>
        <w:jc w:val="left"/>
      </w:pPr>
      <w:r>
        <w:rPr/>
        <w:t xml:space="preserve">For the purposes of this chapter, expenditures for behavioral rehabilitation services placements must be forecasted and budgeted as maintenance level costs.</w:t>
      </w:r>
    </w:p>
    <w:p/>
    <w:p>
      <w:pPr>
        <w:jc w:val="center"/>
      </w:pPr>
      <w:r>
        <w:rPr>
          <w:b/>
        </w:rPr>
        <w:t>--- END ---</w:t>
      </w:r>
    </w:p>
    <w:sectPr>
      <w:pgNumType w:start="1"/>
      <w:footerReference xmlns:r="http://schemas.openxmlformats.org/officeDocument/2006/relationships" r:id="R4e49bdae300b4e6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6013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0462256c8e4a9e" /><Relationship Type="http://schemas.openxmlformats.org/officeDocument/2006/relationships/footer" Target="/word/footer.xml" Id="R4e49bdae300b4e63" /></Relationships>
</file>