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c7d90bce5d4310" /></Relationships>
</file>

<file path=word/document.xml><?xml version="1.0" encoding="utf-8"?>
<w:document xmlns:w="http://schemas.openxmlformats.org/wordprocessingml/2006/main">
  <w:body>
    <w:p>
      <w:r>
        <w:t>S-4897.1</w:t>
      </w:r>
    </w:p>
    <w:p>
      <w:pPr>
        <w:jc w:val="center"/>
      </w:pPr>
      <w:r>
        <w:t>_______________________________________________</w:t>
      </w:r>
    </w:p>
    <w:p/>
    <w:p>
      <w:pPr>
        <w:jc w:val="center"/>
      </w:pPr>
      <w:r>
        <w:rPr>
          <w:b/>
        </w:rPr>
        <w:t>SUBSTITUTE SENATE BILL 5993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Keiser, Saldaña, Kuderer, Conway, Chase, Van De Wege, Hunt, Hasegawa, Pedersen, Frockt, Palumbo, Liias, Darneille, Wellman, Nelson, Hobbs, McCoy, Miloscia, Takko, Rolfes, Mullet, Billig, and Dhingra)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collective bargaining law to authorize providing additional compensation to academic employees at community and technical colleges; amending RCW 28B.52.035 and 28B.50.140;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community and technical colleges provide important access to continuing education, preparation for a university, and workforce training that improve the quality of life and economic vitality of the state. The legislature further finds that a funding gap was created in the 2017-2019 biennium between the amount of state general fund and the amount that was assumed to come from tuition increases. Therefore the legislature intends to fill the gap created in the 2017-2019 biennium and to fund salary and benefit increases with sixty-six percent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035</w:t>
      </w:r>
      <w:r>
        <w:rPr/>
        <w:t xml:space="preserve"> and 1991 c 238 s 148 are each amended to read as follows:</w:t>
      </w:r>
    </w:p>
    <w:p>
      <w:pPr>
        <w:spacing w:before="0" w:after="0" w:line="408" w:lineRule="exact"/>
        <w:ind w:left="0" w:right="0" w:firstLine="576"/>
        <w:jc w:val="left"/>
      </w:pPr>
      <w:r>
        <w:rPr/>
        <w:t xml:space="preserve">At the conclusion of any negotiation processes as provided for in RCW 28B.52.030, any matter upon which the parties have reached agreement shall be reduced to writing and acted upon in a regular or special meeting of the boards of trustees, and become part of the official proceedings of said board meeting. </w:t>
      </w:r>
      <w:r>
        <w:rPr>
          <w:u w:val="single"/>
        </w:rPr>
        <w:t xml:space="preserve">Except as provided in this section, p</w:t>
      </w:r>
      <w:r>
        <w:rPr/>
        <w:t xml:space="preserve">rovisions of written contracts relating to salary increases shall not exceed the amount or percentage established by the legislature in the appropriations act and allocated to the board of trustees by the state board for community and technical colleges. The length of term of any such agreement shall be for not more than three fiscal years. </w:t>
      </w:r>
      <w:r>
        <w:t>((</w:t>
      </w:r>
      <w:r>
        <w:rPr>
          <w:strike/>
        </w:rPr>
        <w:t xml:space="preserve">Any provisions of these agreements pertaining to salary increases will not be binding upon future actions of the legislature.</w:t>
      </w:r>
      <w:r>
        <w:t>))</w:t>
      </w:r>
      <w:r>
        <w:rPr/>
        <w:t xml:space="preserve"> If any provision of a salary increase is changed by subsequent modification of the appropriations act by the legislature, both parties shall immediately enter into collective bargaining for the sole purpose of arriving at a mutually agreed upon replacement for the modified provision. </w:t>
      </w:r>
      <w:r>
        <w:rPr>
          <w:u w:val="single"/>
        </w:rPr>
        <w:t xml:space="preserve">A board of trustees may provide additional compensation to academic employees that exceeds that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2016 sp.s. c 33 s 3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Except </w:t>
      </w:r>
      <w:r>
        <w:t>((</w:t>
      </w:r>
      <w:r>
        <w:rPr>
          <w:strike/>
        </w:rPr>
        <w:t xml:space="preserve">for increments provided with local resources during the 2015-2017 fiscal biennium</w:t>
      </w:r>
      <w:r>
        <w:t>))</w:t>
      </w:r>
      <w:r>
        <w:rPr/>
        <w:t xml:space="preserve"> </w:t>
      </w:r>
      <w:r>
        <w:rPr>
          <w:u w:val="single"/>
        </w:rPr>
        <w:t xml:space="preserve">as provided for academic employees under RCW 28B.52.035 and technical college classified employees under chapter 41.56 RCW</w:t>
      </w:r>
      <w:r>
        <w:rPr/>
        <w:t xml:space="preserve">, compensation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or 28B.50.825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
      <w:pPr>
        <w:jc w:val="center"/>
      </w:pPr>
      <w:r>
        <w:rPr>
          <w:b/>
        </w:rPr>
        <w:t>--- END ---</w:t>
      </w:r>
    </w:p>
    <w:sectPr>
      <w:pgNumType w:start="1"/>
      <w:footerReference xmlns:r="http://schemas.openxmlformats.org/officeDocument/2006/relationships" r:id="Rc06cad703c0342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8d1c4f0b694275" /><Relationship Type="http://schemas.openxmlformats.org/officeDocument/2006/relationships/footer" Target="/word/footer.xml" Id="Rc06cad703c034225" /></Relationships>
</file>