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5fd79a08045fc" /></Relationships>
</file>

<file path=word/document.xml><?xml version="1.0" encoding="utf-8"?>
<w:document xmlns:w="http://schemas.openxmlformats.org/wordprocessingml/2006/main">
  <w:body>
    <w:p>
      <w:r>
        <w:t>S-2802.1</w:t>
      </w:r>
    </w:p>
    <w:p>
      <w:pPr>
        <w:jc w:val="center"/>
      </w:pPr>
      <w:r>
        <w:t>_______________________________________________</w:t>
      </w:r>
    </w:p>
    <w:p/>
    <w:p>
      <w:pPr>
        <w:jc w:val="center"/>
      </w:pPr>
      <w:r>
        <w:rPr>
          <w:b/>
        </w:rPr>
        <w:t>SENATE BILL 5956</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Senators Hasegawa, Baumgartner, and Chase</w:t>
      </w:r>
    </w:p>
    <w:p/>
    <w:p>
      <w:r>
        <w:rPr>
          <w:t xml:space="preserve">Read first time 06/16/17.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superdelegates; amending RCW 29A.56.050;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presidential election, including the selection process leading up to it, is one of the most important opportunities for citizens across the state and the country to engage in the American democratic experience. During this quadrennial process, civic engagement in government and public policy is at its highest, as voters carefully deliberate over which candidate is best qualified to lead our nation. However, the legislature finds that this process risks being subverted by the advent of so-called superdelegates. These unpledged electoral convention delegates are chosen by virtue of their position or political connections, and their vote is removed from any connection or accountability to the will of the people. Such unchecked authority risks the candidate of the party elites being nominated over the clear preference of everyday voters. The legislature thus finds that the ability of superdelegates to command influence over the final selection of a political party's presidential candidate represents an undemocratic end run around the political process.</w:t>
      </w:r>
    </w:p>
    <w:p>
      <w:pPr>
        <w:spacing w:before="0" w:after="0" w:line="408" w:lineRule="exact"/>
        <w:ind w:left="0" w:right="0" w:firstLine="576"/>
        <w:jc w:val="left"/>
      </w:pPr>
      <w:r>
        <w:rPr/>
        <w:t xml:space="preserve">Therefore, it is the legislature's intent that all delegates be bound to the results of the party's caucus or primary process and that superdelegates be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w:t>
      </w:r>
      <w:r>
        <w:t>((</w:t>
      </w:r>
      <w:r>
        <w:rPr>
          <w:strike/>
        </w:rPr>
        <w:t xml:space="preserve">may, under national or state party rules,</w:t>
      </w:r>
      <w:r>
        <w:t>))</w:t>
      </w:r>
      <w:r>
        <w:rPr/>
        <w:t xml:space="preserve"> </w:t>
      </w:r>
      <w:r>
        <w:rPr>
          <w:u w:val="single"/>
        </w:rPr>
        <w:t xml:space="preserve">must</w:t>
      </w:r>
      <w:r>
        <w:rPr/>
        <w:t xml:space="preserve"> base the allocation of </w:t>
      </w:r>
      <w:r>
        <w:rPr>
          <w:u w:val="single"/>
        </w:rPr>
        <w:t xml:space="preserve">all</w:t>
      </w:r>
      <w:r>
        <w:rPr/>
        <w:t xml:space="preserve"> delegates from this state to the national nominating convention of that party in whole </w:t>
      </w:r>
      <w:r>
        <w:t>((</w:t>
      </w:r>
      <w:r>
        <w:rPr>
          <w:strike/>
        </w:rPr>
        <w:t xml:space="preserve">or in part</w:t>
      </w:r>
      <w:r>
        <w:t>))</w:t>
      </w:r>
      <w:r>
        <w:rPr/>
        <w:t xml:space="preserve"> on </w:t>
      </w:r>
      <w:r>
        <w:rPr>
          <w:u w:val="single"/>
        </w:rPr>
        <w:t xml:space="preserve">either</w:t>
      </w:r>
      <w:r>
        <w:rPr/>
        <w:t xml:space="preserve"> the </w:t>
      </w:r>
      <w:r>
        <w:t>((</w:t>
      </w:r>
      <w:r>
        <w:rPr>
          <w:strike/>
        </w:rPr>
        <w:t xml:space="preserve">participation in</w:t>
      </w:r>
      <w:r>
        <w:t>))</w:t>
      </w:r>
      <w:r>
        <w:rPr/>
        <w:t xml:space="preserve"> </w:t>
      </w:r>
      <w:r>
        <w:rPr>
          <w:u w:val="single"/>
        </w:rPr>
        <w:t xml:space="preserve">results of</w:t>
      </w:r>
      <w:r>
        <w:rPr/>
        <w:t xml:space="preserve"> precinct caucuses and conventions conducted under the rules of that party </w:t>
      </w:r>
      <w:r>
        <w:rPr>
          <w:u w:val="single"/>
        </w:rPr>
        <w:t xml:space="preserve">or the results of the presidential preference primary under RCW 29A.56.020</w:t>
      </w:r>
      <w:r>
        <w:rPr/>
        <w:t xml:space="preserve">.</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w:t>
      </w:r>
    </w:p>
    <w:p>
      <w:pPr>
        <w:spacing w:before="0" w:after="0" w:line="408" w:lineRule="exact"/>
        <w:ind w:left="0" w:right="0" w:firstLine="576"/>
        <w:jc w:val="left"/>
      </w:pPr>
      <w:r>
        <w:rPr/>
        <w:t xml:space="preserve">(3) Voters who subscribe to a specific political party declaration under this section must be given ballots that are readily distinguishable from those given to other voters.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For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
      <w:pPr>
        <w:jc w:val="center"/>
      </w:pPr>
      <w:r>
        <w:rPr>
          <w:b/>
        </w:rPr>
        <w:t>--- END ---</w:t>
      </w:r>
    </w:p>
    <w:sectPr>
      <w:pgNumType w:start="1"/>
      <w:footerReference xmlns:r="http://schemas.openxmlformats.org/officeDocument/2006/relationships" r:id="Ra02dcfcaffe942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9dd25abe5f41af" /><Relationship Type="http://schemas.openxmlformats.org/officeDocument/2006/relationships/footer" Target="/word/footer.xml" Id="Ra02dcfcaffe9428e" /></Relationships>
</file>