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1ccd5347a4124" /></Relationships>
</file>

<file path=word/document.xml><?xml version="1.0" encoding="utf-8"?>
<w:document xmlns:w="http://schemas.openxmlformats.org/wordprocessingml/2006/main">
  <w:body>
    <w:p>
      <w:r>
        <w:t>S-5484.3</w:t>
      </w:r>
    </w:p>
    <w:p>
      <w:pPr>
        <w:jc w:val="center"/>
      </w:pPr>
      <w:r>
        <w:t>_______________________________________________</w:t>
      </w:r>
    </w:p>
    <w:p/>
    <w:p>
      <w:pPr>
        <w:jc w:val="center"/>
      </w:pPr>
      <w:r>
        <w:rPr>
          <w:b/>
        </w:rPr>
        <w:t>SUBSTITUTE SENATE BILL 5886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 Ranker)</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orca protection act; amending RCW 77.15.740; reenacting and amending RCW 46.17.220 and 46.68.425; adding a new section to chapter 77.15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southern resident killer whales, also known as orcas, are critically endangered with the population at a thirty-year low of seventy-six whales and scientific evidence building that they are nutritionally stressed. These marine icons are an apex predator species that indicate the overall health of Washington state's marine ecosystems. They also are culturally significant to many Washington tribes and the region as a whole, and are the foundation of an estimated sixty million dollar tourist industry. Existing threats to the orca include a decline in food sources, including Chinook salmon, as well as environmental and human pressures. Therefore, the legislature intends to take immediate action to reverse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In order to facilitate the enforcement of RCW 77.15.740, provide extra protection to newborn calves, and protect critical feeding areas, and subject to the availability of amounts appropriated for this specific purpose, the department must conduct a minimum of one hundred patrols during the twenty-two most active weeks for southern resident killer whale viewing activity each year. In doing so, the department must prioritize Wednesday through Monday patrols when recreational whale watching activity is most active. In the event that orca whales are not present in the marine waters of Puget Sound, emphasis must be placed on patrols that protect living marine resources in northern Puget Sound.</w:t>
      </w:r>
    </w:p>
    <w:p>
      <w:pPr>
        <w:spacing w:before="0" w:after="0" w:line="408" w:lineRule="exact"/>
        <w:ind w:left="0" w:right="0" w:firstLine="576"/>
        <w:jc w:val="left"/>
      </w:pPr>
      <w:r>
        <w:rPr/>
        <w:t xml:space="preserve">(2) The legislature recognizes that weather and sea conditions may impact the department's ability to conduct the number of patrols identified in subsection (1) of this section. If the department does not complete the identified number of patrols during a given annual period, the department must provide a written explanation for, and documentation of, the reasons for the missed patrols to the commission and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to:</w:t>
      </w:r>
    </w:p>
    <w:p>
      <w:pPr>
        <w:spacing w:before="0" w:after="0" w:line="408" w:lineRule="exact"/>
        <w:ind w:left="0" w:right="0" w:firstLine="576"/>
        <w:jc w:val="left"/>
      </w:pPr>
      <w:r>
        <w:rPr/>
        <w:t xml:space="preserve">(a) Cause a vessel</w:t>
      </w:r>
      <w:r>
        <w:rPr>
          <w:u w:val="single"/>
        </w:rPr>
        <w:t xml:space="preserve">, aircraft, remotely controlled aerial vehicle,</w:t>
      </w:r>
      <w:r>
        <w:rPr/>
        <w:t xml:space="preserve"> or other object to approach, in any manner, within two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Fail to disengage the transmission of a vessel that is within two hundred yards of a southern resident orca whale; </w:t>
      </w:r>
      <w:r>
        <w:t>((</w:t>
      </w:r>
      <w:r>
        <w:rPr>
          <w:strike/>
        </w:rPr>
        <w:t xml:space="preserve">or</w:t>
      </w:r>
      <w:r>
        <w:t>))</w:t>
      </w:r>
    </w:p>
    <w:p>
      <w:pPr>
        <w:spacing w:before="0" w:after="0" w:line="408" w:lineRule="exact"/>
        <w:ind w:left="0" w:right="0" w:firstLine="576"/>
        <w:jc w:val="left"/>
      </w:pPr>
      <w:r>
        <w:rPr/>
        <w:t xml:space="preserve">(d) Feed a southern resident orca whale</w:t>
      </w:r>
      <w:r>
        <w:rPr>
          <w:u w:val="single"/>
        </w:rPr>
        <w:t xml:space="preserve">; or</w:t>
      </w:r>
    </w:p>
    <w:p>
      <w:pPr>
        <w:spacing w:before="0" w:after="0" w:line="408" w:lineRule="exact"/>
        <w:ind w:left="0" w:right="0" w:firstLine="576"/>
        <w:jc w:val="left"/>
      </w:pPr>
      <w:r>
        <w:rPr>
          <w:u w:val="single"/>
        </w:rPr>
        <w:t xml:space="preserve">(e) Cause a vessel to exceed a speed over ground of seven knots within four hundred yards of a southern resident orca whale</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his or her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w:t>
      </w:r>
      <w:r>
        <w:t>((</w:t>
      </w:r>
      <w:r>
        <w:rPr>
          <w:strike/>
        </w:rPr>
        <w:t xml:space="preserve">or</w:t>
      </w:r>
      <w:r>
        <w:t>))</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r>
        <w:rPr>
          <w:u w:val="single"/>
        </w:rPr>
        <w:t xml:space="preserve">; or</w:t>
      </w:r>
    </w:p>
    <w:p>
      <w:pPr>
        <w:spacing w:before="0" w:after="0" w:line="408" w:lineRule="exact"/>
        <w:ind w:left="0" w:right="0" w:firstLine="576"/>
        <w:jc w:val="left"/>
      </w:pPr>
      <w:r>
        <w:rPr>
          <w:u w:val="single"/>
        </w:rPr>
        <w:t xml:space="preserve">(g) Not aware of their proximity to a southern resident orca whale due to conditions in which visibility is restricted by fog, mist, falling snow, heavy rainstorms, sandstorms, or any other similar cases, in which case the fines and related statutory assessments under subsection (4) of this section must be waived</w:t>
      </w:r>
      <w:r>
        <w:rPr/>
        <w:t xml:space="preserve">.</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fish and wildlife must coordinate with appropriate federal, tribal, county, and nongovernmental partners to identify research and management actions undertaken since the federal southern resident killer whale recovery plan adoption in 2008 that relate to impacts from human-generated marine noise. The department of fish and wildlife must identify any relevant research findings and management actions undertaken. Additionally, the department must identify options and recommendations on potential actions the state can take, through departmental or legislative action, to further killer whale recovery efforts by addressing impacts from noise.</w:t>
      </w:r>
    </w:p>
    <w:p>
      <w:pPr>
        <w:spacing w:before="0" w:after="0" w:line="408" w:lineRule="exact"/>
        <w:ind w:left="0" w:right="0" w:firstLine="576"/>
        <w:jc w:val="left"/>
      </w:pPr>
      <w:r>
        <w:rPr/>
        <w:t xml:space="preserve">(2) The department of fish and wildlife must provide its analysis, options, and recommendations to the appropriate committees of the legislature by December 1, 2018.</w:t>
      </w:r>
    </w:p>
    <w:p>
      <w:pPr>
        <w:spacing w:before="0" w:after="0" w:line="408" w:lineRule="exact"/>
        <w:ind w:left="0" w:right="0" w:firstLine="576"/>
        <w:jc w:val="left"/>
      </w:pPr>
      <w:r>
        <w:rPr/>
        <w:t xml:space="preserve">(3)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Salish Sea institute at Western Washington University must convene a meeting to improve the coordination of recovery strategies for southern resident killer whales between Washington and British Columbia, and to establish timelines for recovery actions. The meeting must occur by December 31, 2018. The institute must provide a summary of the meeting and outcomes to the appropriate committees of the legislature within thirty days of the conclusion of the meeting.</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00"/>
        <w:gridCol w:w="740"/>
        <w:gridCol w:w="1040"/>
        <w:gridCol w:w="1280"/>
      </w:tblGrid>
      <w:tr>
        <w:tc>
          <w:tcPr>
            <w:tcW w:w="180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104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28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0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0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t>((</w:t>
            </w:r>
            <w:r>
              <w:rPr>
                <w:rFonts w:ascii="Times New Roman" w:hAnsi="Times New Roman"/>
                <w:strike/>
                <w:sz w:val="16"/>
              </w:rPr>
              <w:t xml:space="preserve">$ 40.00</w:t>
            </w:r>
            <w:r>
              <w:t>))</w:t>
            </w:r>
            <w:r>
              <w:rPr>
                <w:rFonts w:ascii="Times New Roman" w:hAnsi="Times New Roman"/>
                <w:sz w:val="16"/>
              </w:rPr>
              <w:t xml:space="preserve"> </w:t>
            </w:r>
            <w:r>
              <w:rPr>
                <w:rFonts w:ascii="Times New Roman" w:hAnsi="Times New Roman"/>
                <w:sz w:val="16"/>
                <w:u w:val="single"/>
              </w:rPr>
              <w:t xml:space="preserve">$ 45.00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$ 30.00</w:t>
            </w:r>
            <w:r>
              <w:t>))</w:t>
            </w:r>
            <w:r>
              <w:rPr>
                <w:rFonts w:ascii="Times New Roman" w:hAnsi="Times New Roman"/>
                <w:sz w:val="16"/>
              </w:rPr>
              <w:t xml:space="preserve"> </w:t>
            </w:r>
            <w:r>
              <w:rPr>
                <w:rFonts w:ascii="Times New Roman" w:hAnsi="Times New Roman"/>
                <w:sz w:val="16"/>
                <w:u w:val="single"/>
              </w:rPr>
              <w:t xml:space="preserve">$ 35.00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(i)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(j)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(k)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(l)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(m)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(n)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(o)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(p)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(r)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(s)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00" w:type="dxa"/>
            <w:vAlign w:val="top"/>
          </w:tcPr>
          <w:p>
            <w:pPr>
              <w:spacing w:before="0" w:after="0" w:line="408" w:lineRule="exact"/>
              <w:ind w:left="0" w:right="0" w:firstLine="0"/>
              <w:jc w:val="left"/>
            </w:pPr>
            <w:r>
              <w:rPr>
                <w:rFonts w:ascii="Times New Roman" w:hAnsi="Times New Roman"/>
                <w:sz w:val="16"/>
              </w:rPr>
              <w:t xml:space="preserve">(t)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(u)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(v)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(w)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(x)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(y)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N/A</w:t>
            </w:r>
          </w:p>
        </w:tc>
        <w:tc>
          <w:tcPr>
            <w:tcW w:w="128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00" w:type="dxa"/>
            <w:vAlign w:val="top"/>
          </w:tcPr>
          <w:p>
            <w:pPr>
              <w:spacing w:before="0" w:after="0" w:line="408" w:lineRule="exact"/>
              <w:ind w:left="0" w:right="0" w:firstLine="0"/>
              <w:jc w:val="left"/>
            </w:pPr>
            <w:r>
              <w:rPr>
                <w:rFonts w:ascii="Times New Roman" w:hAnsi="Times New Roman"/>
                <w:sz w:val="16"/>
              </w:rPr>
              <w:t xml:space="preserve">(z)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(aa)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(bb)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(cc)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(dd)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(ee)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(ff)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(gg)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(hh)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(ii)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(jj)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00" w:type="dxa"/>
            <w:vAlign w:val="top"/>
          </w:tcPr>
          <w:p>
            <w:pPr>
              <w:spacing w:before="0" w:after="0" w:line="408" w:lineRule="exact"/>
              <w:ind w:left="576" w:right="0" w:hanging="576"/>
              <w:jc w:val="left"/>
            </w:pPr>
            <w:r>
              <w:rPr>
                <w:rFonts w:ascii="Times New Roman" w:hAnsi="Times New Roman"/>
                <w:sz w:val="16"/>
              </w:rPr>
              <w:t xml:space="preserve">(kk)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00" w:type="dxa"/>
            <w:vAlign w:val="top"/>
          </w:tcPr>
          <w:p>
            <w:pPr>
              <w:spacing w:before="0" w:after="0" w:line="408" w:lineRule="exact"/>
              <w:ind w:left="576" w:right="0" w:hanging="576"/>
              <w:jc w:val="left"/>
            </w:pPr>
            <w:r>
              <w:rPr>
                <w:rFonts w:ascii="Times New Roman" w:hAnsi="Times New Roman"/>
                <w:sz w:val="16"/>
              </w:rPr>
              <w:t xml:space="preserve">(ll)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1040" w:type="dxa"/>
            <w:vAlign w:val="top"/>
          </w:tcPr>
          <w:p>
            <w:pPr>
              <w:spacing w:before="0" w:after="0" w:line="408" w:lineRule="exact"/>
              <w:ind w:left="0" w:right="0" w:firstLine="0"/>
              <w:jc w:val="center"/>
            </w:pPr>
            <w:r>
              <w:rPr>
                <w:rFonts w:ascii="Times New Roman" w:hAnsi="Times New Roman"/>
                <w:sz w:val="16"/>
              </w:rPr>
              <w:t xml:space="preserve">$ 30.00</w:t>
            </w:r>
          </w:p>
        </w:tc>
        <w:tc>
          <w:tcPr>
            <w:tcW w:w="128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2016 c 31 s 3 and 2016 c 30 s 4 are each reenacted and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r>
              <w:rPr>
                <w:rFonts w:ascii="Times New Roman" w:hAnsi="Times New Roman"/>
                <w:sz w:val="16"/>
                <w:u w:val="single"/>
              </w:rPr>
              <w:t xml:space="preserve">, with at least five dollars of each initial or renewal plate used for orca-related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use to support steelhead species management activities including, but not limited to, activities supporting conservation, recovery, and research to promote healthy, fishable steelhead</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7 of this act take effect January 1, 2019.</w:t>
      </w:r>
    </w:p>
    <w:p/>
    <w:p>
      <w:pPr>
        <w:jc w:val="center"/>
      </w:pPr>
      <w:r>
        <w:rPr>
          <w:b/>
        </w:rPr>
        <w:t>--- END ---</w:t>
      </w:r>
    </w:p>
    <w:sectPr>
      <w:pgNumType w:start="1"/>
      <w:footerReference xmlns:r="http://schemas.openxmlformats.org/officeDocument/2006/relationships" r:id="Rc3ab108f3fa749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f9970b06a84463" /><Relationship Type="http://schemas.openxmlformats.org/officeDocument/2006/relationships/footer" Target="/word/footer.xml" Id="Rc3ab108f3fa74909" /></Relationships>
</file>