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37f33446a141c9" /></Relationships>
</file>

<file path=word/document.xml><?xml version="1.0" encoding="utf-8"?>
<w:document xmlns:w="http://schemas.openxmlformats.org/wordprocessingml/2006/main">
  <w:body>
    <w:p>
      <w:r>
        <w:t>S-1358.3</w:t>
      </w:r>
    </w:p>
    <w:p>
      <w:pPr>
        <w:jc w:val="center"/>
      </w:pPr>
      <w:r>
        <w:t>_______________________________________________</w:t>
      </w:r>
    </w:p>
    <w:p/>
    <w:p>
      <w:pPr>
        <w:jc w:val="center"/>
      </w:pPr>
      <w:r>
        <w:rPr>
          <w:b/>
        </w:rPr>
        <w:t>SENATE BILL 5835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Baumgartner, Fain, Conway, Cleveland, Rivers, Kuderer, Braun, Rossi, Hasegawa, Hunt, and Saldaña</w:t>
      </w:r>
    </w:p>
    <w:p/>
    <w:p>
      <w:r>
        <w:rPr>
          <w:t xml:space="preserve">Read first time 02/16/17.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healthy outcomes for pregnant women and infants; amending RCW 74.09.480; adding a new section to chapter 74.09 RCW; adding a new section to chapter 43.10 RCW;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has an interest in assuring that children are given the opportunity to have a healthy start in life. Because approximately half of all births in Washington state are funded by state resources, and over eight hundred thousand children in Washington state are enrolled in the apple health program, the state is in a unique position to make a difference in the health of children in Washington.</w:t>
      </w:r>
    </w:p>
    <w:p>
      <w:pPr>
        <w:spacing w:before="0" w:after="0" w:line="408" w:lineRule="exact"/>
        <w:ind w:left="0" w:right="0" w:firstLine="576"/>
        <w:jc w:val="left"/>
      </w:pPr>
      <w:r>
        <w:rPr/>
        <w:t xml:space="preserve">(2) The legislature also finds that there may be gaps in programs that could greatly benefit children. Where programs may benefit children in their early stages of development, the state must assure they receive these benefits. Where children are not receiving services because the public is unaware of the services, opportunities for outreach must be explored.</w:t>
      </w:r>
    </w:p>
    <w:p>
      <w:pPr>
        <w:spacing w:before="0" w:after="0" w:line="408" w:lineRule="exact"/>
        <w:ind w:left="0" w:right="0" w:firstLine="576"/>
        <w:jc w:val="left"/>
      </w:pPr>
      <w:r>
        <w:rPr/>
        <w:t xml:space="preserve">(3) The legislature additionally finds that several hospitals have begun adopting the best practices of the baby-friendly hospital initiative. The state can use its resources to encourage hospitals to adopt some of the most critical components by incorporating the standards into medicaid contracts.</w:t>
      </w:r>
    </w:p>
    <w:p>
      <w:pPr>
        <w:spacing w:before="0" w:after="0" w:line="408" w:lineRule="exact"/>
        <w:ind w:left="0" w:right="0" w:firstLine="576"/>
        <w:jc w:val="left"/>
      </w:pPr>
      <w:r>
        <w:rPr/>
        <w:t xml:space="preserve">(4) The legislature further finds that providing children with a healthy start also requires promoting healthy pregnancies. In one national survey, pregnant workers said they needed more frequent breaks while pregnant. Prenatal care is also critical for positive birth outcomes, and pregnant women have cited the need for flexibility in their work schedule for the purposes of attending doctor visits. Reasonable accommodations for pregnant women in the workplace can go a long way to promoting healthy pregnancies without producing an undue hardship on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Effective January 1, 2018, the authority shall require that all health care facilities that provide newborn delivery services to medical assistance clients establish policies and procedures to provide:</w:t>
      </w:r>
    </w:p>
    <w:p>
      <w:pPr>
        <w:spacing w:before="0" w:after="0" w:line="408" w:lineRule="exact"/>
        <w:ind w:left="0" w:right="0" w:firstLine="576"/>
        <w:jc w:val="left"/>
      </w:pPr>
      <w:r>
        <w:rPr/>
        <w:t xml:space="preserve">(a) Skin-to-skin placement of the newborn on the mother's chest immediately following birth to promote the initiation of breastfeeding, except as otherwise indicated by authority guidelines; and</w:t>
      </w:r>
    </w:p>
    <w:p>
      <w:pPr>
        <w:spacing w:before="0" w:after="0" w:line="408" w:lineRule="exact"/>
        <w:ind w:left="0" w:right="0" w:firstLine="576"/>
        <w:jc w:val="left"/>
      </w:pPr>
      <w:r>
        <w:rPr/>
        <w:t xml:space="preserve">(b) Room-in practices in which a newborn and a mother share the same room for the duration of their postdelivery stay at the facility, except as otherwise indicated by authority guidelines.</w:t>
      </w:r>
    </w:p>
    <w:p>
      <w:pPr>
        <w:spacing w:before="0" w:after="0" w:line="408" w:lineRule="exact"/>
        <w:ind w:left="0" w:right="0" w:firstLine="576"/>
        <w:jc w:val="left"/>
      </w:pPr>
      <w:r>
        <w:rPr/>
        <w:t xml:space="preserve">(2) The authority shall provide guidelines for hospitals to use when establishing policies and procedures for services under subsection (1) of this section, including circumstances in which providing the services is not appropriate.</w:t>
      </w:r>
    </w:p>
    <w:p>
      <w:pPr>
        <w:spacing w:before="0" w:after="0" w:line="408" w:lineRule="exact"/>
        <w:ind w:left="0" w:right="0" w:firstLine="576"/>
        <w:jc w:val="left"/>
      </w:pPr>
      <w:r>
        <w:rPr/>
        <w:t xml:space="preserve">(3) The authority shall require managed care organizations to report on the frequency with which each facility they contract with is able to adhere to the policies and procedures and the most common reasons for nonadherence. The authority shall include a summary of this information in the biennial report required under RCW 74.09.480(3).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 and</w:t>
      </w:r>
    </w:p>
    <w:p>
      <w:pPr>
        <w:spacing w:before="0" w:after="0" w:line="408" w:lineRule="exact"/>
        <w:ind w:left="0" w:right="0" w:firstLine="576"/>
        <w:jc w:val="left"/>
      </w:pPr>
      <w:r>
        <w:rPr/>
        <w:t xml:space="preserve">(viii)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Additionally, the next time the department publishes the "your rights as a worker" poster, or a similar required workplace poster, the department must include information regarding these respective rights and responsibilities.</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2011 1st sp.s. c 15 s 22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w:t>
      </w:r>
      <w:r>
        <w:rPr>
          <w:u w:val="single"/>
        </w:rPr>
        <w:t xml:space="preserve">advanced registered nurse practitioners, certified nurse midwives,</w:t>
      </w:r>
      <w:r>
        <w:rPr/>
        <w:t xml:space="preserve">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and improve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w:t>
      </w:r>
      <w:r>
        <w:rPr>
          <w:u w:val="single"/>
        </w:rPr>
        <w:t xml:space="preserve">as well as the information collected under section 2 of this act,</w:t>
      </w:r>
      <w:r>
        <w:rPr/>
        <w:t xml:space="preserve"> beginning in September 2010 for 2007 through 2009 and the authority shall provide the report biennially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healthy pregnancy advisory committee is established to develop a strategy for improving maternal and infant health outcomes. The advisory committee shall conduct its activities in consultation with the maternal mortality review panel established in RCW 70.54.450 and an initiative related to improving maternal and infant outcomes that is established by the largest association representing hospitals in Washington.</w:t>
      </w:r>
    </w:p>
    <w:p>
      <w:pPr>
        <w:spacing w:before="0" w:after="0" w:line="408" w:lineRule="exact"/>
        <w:ind w:left="0" w:right="0" w:firstLine="576"/>
        <w:jc w:val="left"/>
      </w:pPr>
      <w:r>
        <w:rPr/>
        <w:t xml:space="preserve">(2) The secretary shall appoint up to twenty members to the advisory committee including experts in maternal and child health, pediatric primary care providers, public health experts, hospitals that provide birthing services, health care providers involved in the care of pregnant women and infants, and representatives of low-income women, women of color, and immigrant communities. In addition, the secretary shall designate a representative from the department of health and invite participation from the health care authority, the department of social and health services, and the department of early learning. The secretary's designee shall serve as the chair of the advisory committee and shall convene the work group.</w:t>
      </w:r>
    </w:p>
    <w:p>
      <w:pPr>
        <w:spacing w:before="0" w:after="0" w:line="408" w:lineRule="exact"/>
        <w:ind w:left="0" w:right="0" w:firstLine="576"/>
        <w:jc w:val="left"/>
      </w:pPr>
      <w:r>
        <w:rPr/>
        <w:t xml:space="preserve">(3) The advisory committee shall develop a strategy to promote maternal and child health outcomes. The strategy shall consider best practices that agencies may integrate into their programs to improve birth outcomes, reduce maternal mortality and morbidity, and reduce infant mortality. The strategy shall include elements to promote breastfeeding, incentivize the adoption of the baby-friendly designation by hospitals, and reduce barriers to accessing prenatal care. The advisory committee shall consider where there may be gaps in the availability of services that may benefit pregnant women and infants, such as coverage for lactation consulting, the availability of smoking cessation programs for persons who are codomiciled with the pregnant woman or infant, access to fresh fruits and vegetables, and improved access to dental care for pregnant women.</w:t>
      </w:r>
    </w:p>
    <w:p>
      <w:pPr>
        <w:spacing w:before="0" w:after="0" w:line="408" w:lineRule="exact"/>
        <w:ind w:left="0" w:right="0" w:firstLine="576"/>
        <w:jc w:val="left"/>
      </w:pPr>
      <w:r>
        <w:rPr/>
        <w:t xml:space="preserve">(4) The advisory committee shall submit the strategy to the legislature and the governor's council for the healthiest next generation by October 15, 2018.</w:t>
      </w:r>
    </w:p>
    <w:p>
      <w:pPr>
        <w:spacing w:before="0" w:after="0" w:line="408" w:lineRule="exact"/>
        <w:ind w:left="0" w:right="0" w:firstLine="576"/>
        <w:jc w:val="left"/>
      </w:pPr>
      <w:r>
        <w:rPr/>
        <w:t xml:space="preserve">(5) This section expires July 1, 2019.</w:t>
      </w:r>
    </w:p>
    <w:p/>
    <w:p>
      <w:pPr>
        <w:jc w:val="center"/>
      </w:pPr>
      <w:r>
        <w:rPr>
          <w:b/>
        </w:rPr>
        <w:t>--- END ---</w:t>
      </w:r>
    </w:p>
    <w:sectPr>
      <w:pgNumType w:start="1"/>
      <w:footerReference xmlns:r="http://schemas.openxmlformats.org/officeDocument/2006/relationships" r:id="R560731f065654d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1ebbfe036434b" /><Relationship Type="http://schemas.openxmlformats.org/officeDocument/2006/relationships/footer" Target="/word/footer.xml" Id="R560731f065654d45" /></Relationships>
</file>