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8f4911a5ac436d" /></Relationships>
</file>

<file path=word/document.xml><?xml version="1.0" encoding="utf-8"?>
<w:document xmlns:w="http://schemas.openxmlformats.org/wordprocessingml/2006/main">
  <w:body>
    <w:p>
      <w:r>
        <w:t>S-1326.1</w:t>
      </w:r>
    </w:p>
    <w:p>
      <w:pPr>
        <w:jc w:val="center"/>
      </w:pPr>
      <w:r>
        <w:t>_______________________________________________</w:t>
      </w:r>
    </w:p>
    <w:p/>
    <w:p>
      <w:pPr>
        <w:jc w:val="center"/>
      </w:pPr>
      <w:r>
        <w:rPr>
          <w:b/>
        </w:rPr>
        <w:t>SENATE BILL 5778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and Zeiger</w:t>
      </w:r>
    </w:p>
    <w:p/>
    <w:p>
      <w:r>
        <w:rPr>
          <w:t xml:space="preserve">Read first time 02/09/17.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the federal requirements established by the veterans access, choice, and accountability act of 2014;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3rd sp.s. c 8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w:t>
      </w:r>
      <w:r>
        <w:rPr>
          <w:u w:val="single"/>
        </w:rPr>
        <w:t xml:space="preserve">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u w:val="single"/>
        </w:rPr>
        <w:t xml:space="preserve">(k)</w:t>
      </w:r>
      <w:r>
        <w:rPr/>
        <w:t xml:space="preserve"> A student who resides in the state of Washington and is the spouse or a dependent of a person who is a member of the Washington national guard;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student who is entitled to veterans administration educational assistance benefits based on the student's relationship with a deceased member of the uniformed services who </w:t>
      </w:r>
      <w:r>
        <w:t>((</w:t>
      </w:r>
      <w:r>
        <w:rPr>
          <w:strike/>
        </w:rPr>
        <w:t xml:space="preserve">completed at least ninety days of active duty service and</w:t>
      </w:r>
      <w:r>
        <w:t>))</w:t>
      </w:r>
      <w:r>
        <w:rPr/>
        <w:t xml:space="preserve"> died in the line of duty</w:t>
      </w:r>
      <w:r>
        <w:t>((</w:t>
      </w:r>
      <w:r>
        <w:rPr>
          <w:strike/>
        </w:rPr>
        <w:t xml:space="preserve">, and the student enters an institution of higher education in Washington within three years of the service member's death</w:t>
      </w:r>
      <w:r>
        <w:t>))</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w:t>
      </w:r>
      <w:r>
        <w:t>((</w:t>
      </w:r>
      <w:r>
        <w:rPr>
          <w:strike/>
        </w:rPr>
        <w:t xml:space="preserve">(k), (l), or (m)</w:t>
      </w:r>
      <w:r>
        <w:t>))</w:t>
      </w:r>
      <w:r>
        <w:rPr/>
        <w:t xml:space="preserve"> </w:t>
      </w:r>
      <w:r>
        <w:rPr>
          <w:u w:val="single"/>
        </w:rPr>
        <w:t xml:space="preserve">(l), (m), or (n)</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w:t>
      </w:r>
      <w:r>
        <w:t>((</w:t>
      </w:r>
      <w:r>
        <w:rPr>
          <w:strike/>
        </w:rPr>
        <w:t xml:space="preserve">(k), (l), or (m)</w:t>
      </w:r>
      <w:r>
        <w:t>))</w:t>
      </w:r>
      <w:r>
        <w:rPr/>
        <w:t xml:space="preserve"> </w:t>
      </w:r>
      <w:r>
        <w:rPr>
          <w:u w:val="single"/>
        </w:rPr>
        <w:t xml:space="preserve">(l), (m), or (n)</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(n)</w:t>
      </w:r>
      <w:r>
        <w:t>))</w:t>
      </w:r>
      <w:r>
        <w:rPr/>
        <w:t xml:space="preserve"> </w:t>
      </w:r>
      <w:r>
        <w:rPr>
          <w:u w:val="single"/>
        </w:rPr>
        <w:t xml:space="preserve">(o)</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70591a0f7eb948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a675228dd4a07" /><Relationship Type="http://schemas.openxmlformats.org/officeDocument/2006/relationships/footer" Target="/word/footer.xml" Id="R70591a0f7eb948c3" /></Relationships>
</file>