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f3ea0c0d44f10" /></Relationships>
</file>

<file path=word/document.xml><?xml version="1.0" encoding="utf-8"?>
<w:document xmlns:w="http://schemas.openxmlformats.org/wordprocessingml/2006/main">
  <w:body>
    <w:p>
      <w:r>
        <w:t>S-1629.1</w:t>
      </w:r>
    </w:p>
    <w:p>
      <w:pPr>
        <w:jc w:val="center"/>
      </w:pPr>
      <w:r>
        <w:t>_______________________________________________</w:t>
      </w:r>
    </w:p>
    <w:p/>
    <w:p>
      <w:pPr>
        <w:jc w:val="center"/>
      </w:pPr>
      <w:r>
        <w:rPr>
          <w:b/>
        </w:rPr>
        <w:t>SUBSTITUTE SENATE BILL 5763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Warnick, Darneille, Keiser, and Rolfes)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from the children's mental health work group; amending RCW 74.09.495 and 74.09.520; adding a new section to chapter 74.09 RCW; adding a new section to chapter 43.215 RCW; adding a new section to chapter 28A.310 RCW; adding a new section to chapter 28A.300 RCW; adding a new section to chapter 28B.30 RCW; adding a new section to chapter 28B.20 RCW; adding a new section to chapter 71.24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and their families face systemic barriers to accessing necessary mental health services. These barriers include a workforce shortage of mental health providers throughout the system of care. Of particular concern are shortages of providers in underserved rural areas of our state and a shortage of providers statewide who can deliver culturally and linguistically appropriate services. The legislature further finds that greater coordination across systems, including early learning, K-12 education, workforce development, and health care, is necessary to provide children and their families with coordinated care.</w:t>
      </w:r>
    </w:p>
    <w:p>
      <w:pPr>
        <w:spacing w:before="0" w:after="0" w:line="408" w:lineRule="exact"/>
        <w:ind w:left="0" w:right="0" w:firstLine="576"/>
        <w:jc w:val="left"/>
      </w:pPr>
      <w:r>
        <w:rPr/>
        <w:t xml:space="preserve">The legislature further finds that until mental health and physical health services are fully integrated in the year 2020, children who are eligible for medicaid services and require mental health treatment should receive coordinated mental health and physical health services to the fullest extent possible.</w:t>
      </w:r>
    </w:p>
    <w:p>
      <w:pPr>
        <w:spacing w:before="0" w:after="0" w:line="408" w:lineRule="exact"/>
        <w:ind w:left="0" w:right="0" w:firstLine="576"/>
        <w:jc w:val="left"/>
      </w:pPr>
      <w:r>
        <w:rPr/>
        <w:t xml:space="preserve">The legislature further finds that in 2013, the department of social and health services and the health care authority reported that only forty percent of the children on medicaid who had mental health treatment needs were receiving services and that mental health treatment needs increase with the number of adverse childhood experiences that a child has undergone.</w:t>
      </w:r>
    </w:p>
    <w:p>
      <w:pPr>
        <w:spacing w:before="0" w:after="0" w:line="408" w:lineRule="exact"/>
        <w:ind w:left="0" w:right="0" w:firstLine="576"/>
        <w:jc w:val="left"/>
      </w:pPr>
      <w:r>
        <w:rPr/>
        <w:t xml:space="preserve">The legislature further finds that children with mental health service needs have higher rates of emergency room use, criminal justice system involvement, and an increased risk of homelessness, and that trauma-informed care can mitigate some of these negative outcomes.</w:t>
      </w:r>
    </w:p>
    <w:p>
      <w:pPr>
        <w:spacing w:before="0" w:after="0" w:line="408" w:lineRule="exact"/>
        <w:ind w:left="0" w:right="0" w:firstLine="576"/>
        <w:jc w:val="left"/>
      </w:pPr>
      <w:r>
        <w:rPr/>
        <w:t xml:space="preserve">Therefore, the legislature intends to implement recommendations from the children's mental health work group, as reported in December 2016, in order to improve mental health care access for children and their families through the early learning, K-12 education, and health care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the managed health care system as defined in RCW 74.09.325 to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to develop and maintain adequate capacity to facilitate child mental health treatment services in the community or transfers to a behavioral health organization, depending on the level of required care, by:</w:t>
      </w:r>
    </w:p>
    <w:p>
      <w:pPr>
        <w:spacing w:before="0" w:after="0" w:line="408" w:lineRule="exact"/>
        <w:ind w:left="0" w:right="0" w:firstLine="576"/>
        <w:jc w:val="left"/>
      </w:pPr>
      <w:r>
        <w:rPr/>
        <w:t xml:space="preserve">(a) Following up with individuals to (i) ensure an appointment has been secured and completed; and (ii) track the individual's utilization of services;</w:t>
      </w:r>
    </w:p>
    <w:p>
      <w:pPr>
        <w:spacing w:before="0" w:after="0" w:line="408" w:lineRule="exact"/>
        <w:ind w:left="0" w:right="0" w:firstLine="576"/>
        <w:jc w:val="left"/>
      </w:pPr>
      <w:r>
        <w:rPr/>
        <w:t xml:space="preserve">(b) Coordinating with and reporting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Providing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Maintaining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2016 c 96 s 3 are each amended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rPr>
          <w:u w:val="single"/>
        </w:rPr>
        <w:t xml:space="preserve">(1)</w:t>
      </w:r>
      <w:r>
        <w:rPr/>
        <w:t xml:space="preserve"> At a minimum, the report must include the following components broken down by age, gender, and race and ethnicity: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percentage of health plan members with an identified mental health need who received mental health services during the reporting period;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percentage of children served by behavioral health organizations, including the types of services provided.</w:t>
      </w:r>
    </w:p>
    <w:p>
      <w:pPr>
        <w:spacing w:before="0" w:after="0" w:line="408" w:lineRule="exact"/>
        <w:ind w:left="0" w:right="0" w:firstLine="576"/>
        <w:jc w:val="left"/>
      </w:pPr>
      <w:r>
        <w:rPr>
          <w:u w:val="single"/>
        </w:rPr>
        <w:t xml:space="preserve">(2) The report must also include the number of children's mental health providers available in the previous year and the overall percentage of children's mental health providers who were actively accepting new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Effective January 1, 2018, the authority shall require universal screening and provider payment for depression for children ages eleven through twenty-one as recommended by the bright futures guidelines of the American academy of pediatrics, as they existed on January 1, 2017. This requirement is subject to the availability of funds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shall establish a child care consultation program linking child care providers with evidence-based and best practice resources regarding caring for infants and young children who present behavioral concerns. The department may contract with an entity with expertise in child development and early learning programs in order to operate the child care consultation program.</w:t>
      </w:r>
    </w:p>
    <w:p>
      <w:pPr>
        <w:spacing w:before="0" w:after="0" w:line="408" w:lineRule="exact"/>
        <w:ind w:left="0" w:right="0" w:firstLine="576"/>
        <w:jc w:val="left"/>
      </w:pPr>
      <w:r>
        <w:rPr/>
        <w:t xml:space="preserve">(2) In establishing and operating the program, the department or contracted entity shall: (a) Provide support and guidance to child care staff; and (b) consult and coordinate with parents, other caregivers, and experts or practitioners involved with the care and well-being of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Each educational service district must establish a lead staff person for mental health. The lead staff person must have the primary responsibility of coordinating medicaid billing for schools and school districts, facilitating community partnerships, sharing service models, seeking public and private grant funding, and ensuring the adequacy of other system level supports for students with mental health needs. The lead staff person must collaborate with the office of the superintendent of public instruction as provided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must employ a children's mental health services coordinator to coordinate and provide support for the activities of the mental health lead staff person in each educational service district, as provided in section 6 of this act.</w:t>
      </w:r>
    </w:p>
    <w:p>
      <w:pPr>
        <w:spacing w:before="0" w:after="0" w:line="408" w:lineRule="exact"/>
        <w:ind w:left="0" w:right="0" w:firstLine="576"/>
        <w:jc w:val="left"/>
      </w:pPr>
      <w:r>
        <w:rPr/>
        <w:t xml:space="preserve">(2) The office must designate one educational service district as a "lighthouse" to provide technical assistance to educational service district mental health leads. Technical assistance must include: (a) Facilitating peer-to-peer training opportunities; (b) providing information about the impact of racial and other disparities on children's mental health; (c) serving as a model for best practices for mental health coordination; and (d) training on medicaid billing for schools and school districts. The designated lighthouse must have experience in providing mental health services and in medicaid billing.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health workforce council of the state workforce training and education coordinating board shall collect and analyze workforce survey and administrative data for clinicians qualified to provide children's mental health services, including the availability of culturally and linguistically diverse services and providers for children. The board must submit its findings and recommendations to the governor and appropriate committees of the legislature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one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child and adolescent psychiatry residency program at the University of Washington shall offer one additional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department, a behavioral health organization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organization and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organization. A distant site or any other site not identified in subsection (3) of this section may not charge a facility fee.</w:t>
      </w:r>
    </w:p>
    <w:p>
      <w:pPr>
        <w:spacing w:before="0" w:after="0" w:line="408" w:lineRule="exact"/>
        <w:ind w:left="0" w:right="0" w:firstLine="576"/>
        <w:jc w:val="left"/>
      </w:pPr>
      <w:r>
        <w:rPr/>
        <w:t xml:space="preserve">(5) A behavioral health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behavioral health organization may subject coverage of a telemedicine or store and forward technology behavioral health service under subsection (1) of this section to all terms and conditions of the behavioral health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under the behavioral health organization; or</w:t>
      </w:r>
    </w:p>
    <w:p>
      <w:pPr>
        <w:spacing w:before="0" w:after="0" w:line="408" w:lineRule="exact"/>
        <w:ind w:left="0" w:right="0" w:firstLine="576"/>
        <w:jc w:val="left"/>
      </w:pPr>
      <w:r>
        <w:rPr/>
        <w:t xml:space="preserve">(c) An originating site or provider when the site or provider is not a contracted provider with the behavioral health organization.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department must adopt rules as necessary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January 1, 2018.</w:t>
      </w:r>
    </w:p>
    <w:p/>
    <w:p>
      <w:pPr>
        <w:jc w:val="center"/>
      </w:pPr>
      <w:r>
        <w:rPr>
          <w:b/>
        </w:rPr>
        <w:t>--- END ---</w:t>
      </w:r>
    </w:p>
    <w:sectPr>
      <w:pgNumType w:start="1"/>
      <w:footerReference xmlns:r="http://schemas.openxmlformats.org/officeDocument/2006/relationships" r:id="R7c672953fe6b45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70f7c9f326460c" /><Relationship Type="http://schemas.openxmlformats.org/officeDocument/2006/relationships/footer" Target="/word/footer.xml" Id="R7c672953fe6b4599" /></Relationships>
</file>