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04899d36c4f87" /></Relationships>
</file>

<file path=word/document.xml><?xml version="1.0" encoding="utf-8"?>
<w:document xmlns:w="http://schemas.openxmlformats.org/wordprocessingml/2006/main">
  <w:body>
    <w:p>
      <w:r>
        <w:t>S-1101.3</w:t>
      </w:r>
    </w:p>
    <w:p>
      <w:pPr>
        <w:jc w:val="center"/>
      </w:pPr>
      <w:r>
        <w:t>_______________________________________________</w:t>
      </w:r>
    </w:p>
    <w:p/>
    <w:p>
      <w:pPr>
        <w:jc w:val="center"/>
      </w:pPr>
      <w:r>
        <w:rPr>
          <w:b/>
        </w:rPr>
        <w:t>SENATE BILL 5734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Baumgartner, Miloscia, Saldaña, Keiser, Conway, Hasegawa, McCoy, Braun, Honeyford, Brown, Kuderer, Rivers, and Warnick</w:t>
      </w:r>
    </w:p>
    <w:p/>
    <w:p>
      <w:r>
        <w:rPr>
          <w:t xml:space="preserve">Read first time 02/06/17.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Washington state government contracting provisions into compliance with federal law as it relates to small works bonding requirements; and amending RCW 39.08.010.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w:t>
      </w:r>
      <w:r>
        <w:t>((</w:t>
      </w:r>
      <w:r>
        <w:rPr>
          <w:strike/>
        </w:rPr>
        <w:t xml:space="preserve">thirty-five</w:t>
      </w:r>
      <w:r>
        <w:t>))</w:t>
      </w:r>
      <w:r>
        <w:rPr/>
        <w:t xml:space="preserve"> </w:t>
      </w:r>
      <w:r>
        <w:rPr>
          <w:u w:val="single"/>
        </w:rPr>
        <w:t xml:space="preserve">one hundred fifty</w:t>
      </w:r>
      <w:r>
        <w:rPr/>
        <w:t xml:space="preserve"> thousand dollars or less, at the option of the contractor </w:t>
      </w:r>
      <w:r>
        <w:rPr>
          <w:u w:val="single"/>
        </w:rPr>
        <w:t xml:space="preserve">or the general contractor/construction manager as defined in RCW 39.10.210,</w:t>
      </w:r>
      <w:r>
        <w:rPr/>
        <w:t xml:space="preserve"> the respective public entity may, in lieu of the bond, retain </w:t>
      </w:r>
      <w:r>
        <w:t>((</w:t>
      </w:r>
      <w:r>
        <w:rPr>
          <w:strike/>
        </w:rPr>
        <w:t xml:space="preserve">fifty</w:t>
      </w:r>
      <w:r>
        <w:t>))</w:t>
      </w:r>
      <w:r>
        <w:rPr/>
        <w:t xml:space="preserve"> </w:t>
      </w:r>
      <w:r>
        <w:rPr>
          <w:u w:val="single"/>
        </w:rPr>
        <w:t xml:space="preserve">ten</w:t>
      </w:r>
      <w:r>
        <w:rPr/>
        <w:t xml:space="preserve">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 </w:t>
      </w:r>
      <w:r>
        <w:rPr>
          <w:u w:val="single"/>
        </w:rPr>
        <w:t xml:space="preserve">The recovery of unpaid wages and benefits must be the first priority for any actions filed against retainage held by a state agency or authorized local government.</w:t>
      </w:r>
    </w:p>
    <w:p>
      <w:pPr>
        <w:spacing w:before="0" w:after="0" w:line="408" w:lineRule="exact"/>
        <w:ind w:left="0" w:right="0" w:firstLine="576"/>
        <w:jc w:val="left"/>
      </w:pPr>
      <w:r>
        <w:rPr/>
        <w:t xml:space="preserve">(4) For contracts of one hundred </w:t>
      </w:r>
      <w:r>
        <w:rPr>
          <w:u w:val="single"/>
        </w:rPr>
        <w:t xml:space="preserve">fifty</w:t>
      </w:r>
      <w:r>
        <w:rPr/>
        <w:t xml:space="preserve">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
      <w:pPr>
        <w:jc w:val="center"/>
      </w:pPr>
      <w:r>
        <w:rPr>
          <w:b/>
        </w:rPr>
        <w:t>--- END ---</w:t>
      </w:r>
    </w:p>
    <w:sectPr>
      <w:pgNumType w:start="1"/>
      <w:footerReference xmlns:r="http://schemas.openxmlformats.org/officeDocument/2006/relationships" r:id="R05a82ffef8ba4c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64a3440bb466f" /><Relationship Type="http://schemas.openxmlformats.org/officeDocument/2006/relationships/footer" Target="/word/footer.xml" Id="R05a82ffef8ba4cea" /></Relationships>
</file>