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5dd23708084057" /></Relationships>
</file>

<file path=word/document.xml><?xml version="1.0" encoding="utf-8"?>
<w:document xmlns:w="http://schemas.openxmlformats.org/wordprocessingml/2006/main">
  <w:body>
    <w:p>
      <w:r>
        <w:t>S-3982.1</w:t>
      </w:r>
    </w:p>
    <w:p>
      <w:pPr>
        <w:jc w:val="center"/>
      </w:pPr>
      <w:r>
        <w:t>_______________________________________________</w:t>
      </w:r>
    </w:p>
    <w:p/>
    <w:p>
      <w:pPr>
        <w:jc w:val="center"/>
      </w:pPr>
      <w:r>
        <w:rPr>
          <w:b/>
        </w:rPr>
        <w:t>SUBSTITUTE SENATE BILL 5592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Palumbo, Wilson, Ranker, Zeiger, Liias, Bailey, and Frockt)</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decoupling services and activities fees from tuition; and reenacting and amending RCW 28B.15.069.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2016 sp.s. c 33 s 2 and 2016 c 202 s 57 are each reenacted and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shall charge to and collect from each student a services and activities fee. A governing board may increase the existing fee annually, consistent with budgeting procedures set forth in RCW 28B.15.045, </w:t>
      </w:r>
      <w:r>
        <w:t>((</w:t>
      </w:r>
      <w:r>
        <w:rPr>
          <w:strike/>
        </w:rPr>
        <w:t xml:space="preserve">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w:t>
      </w:r>
      <w:r>
        <w:t>))</w:t>
      </w:r>
      <w:r>
        <w:rPr/>
        <w:t xml:space="preserve"> by amounts </w:t>
      </w:r>
      <w:r>
        <w:rPr>
          <w:u w:val="single"/>
        </w:rPr>
        <w:t xml:space="preserve">that shall not exceed four percent per year,</w:t>
      </w:r>
      <w:r>
        <w:rPr/>
        <w:t xml:space="preserve"> judged reasonable and necessary by the services and activities fee committee and the governing board </w:t>
      </w:r>
      <w:r>
        <w:t>((</w:t>
      </w:r>
      <w:r>
        <w:rPr>
          <w:strike/>
        </w:rPr>
        <w:t xml:space="preserve">consistent with the budgeting procedures set forth in RCW 28B.15.045</w:t>
      </w:r>
      <w:r>
        <w:t>))</w:t>
      </w:r>
      <w:r>
        <w:rPr/>
        <w:t xml:space="preserve">.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or a bachelor of science degree program described in RCW 28B.50.825 may charge tuition fees for those courses above the associate degree level at rates consistent with rules adopted by the state board for community and technical colleges, not to exceed tuition fee rates at the regional universities.</w:t>
      </w:r>
    </w:p>
    <w:p/>
    <w:p>
      <w:pPr>
        <w:jc w:val="center"/>
      </w:pPr>
      <w:r>
        <w:rPr>
          <w:b/>
        </w:rPr>
        <w:t>--- END ---</w:t>
      </w:r>
    </w:p>
    <w:sectPr>
      <w:pgNumType w:start="1"/>
      <w:footerReference xmlns:r="http://schemas.openxmlformats.org/officeDocument/2006/relationships" r:id="R5cc8bfdcb85849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f690c677fe4f7e" /><Relationship Type="http://schemas.openxmlformats.org/officeDocument/2006/relationships/footer" Target="/word/footer.xml" Id="R5cc8bfdcb85849dc" /></Relationships>
</file>