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dbf94d16fa454f" /></Relationships>
</file>

<file path=word/document.xml><?xml version="1.0" encoding="utf-8"?>
<w:document xmlns:w="http://schemas.openxmlformats.org/wordprocessingml/2006/main">
  <w:body>
    <w:p>
      <w:r>
        <w:t>S-4547.1</w:t>
      </w:r>
    </w:p>
    <w:p>
      <w:pPr>
        <w:jc w:val="center"/>
      </w:pPr>
      <w:r>
        <w:t>_______________________________________________</w:t>
      </w:r>
    </w:p>
    <w:p/>
    <w:p>
      <w:pPr>
        <w:jc w:val="center"/>
      </w:pPr>
      <w:r>
        <w:rPr>
          <w:b/>
        </w:rPr>
        <w:t>SECOND SUBSTITUTE SENATE BILL 5576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Keiser, Fortunato, Conway, Miloscia, Hobbs, Takko, Hasegawa, Wellman, and Saldaña)</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apprenticeship utilization requirements; amending RCW 39.04.320, 39.04.350, and 39.12.080; and adding a new section to chapter 49.04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2015 3rd sp.s. c 40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2015, and before July 1, 2020, for all public works by the department of transportation estimated to cost three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w:t>
      </w:r>
      <w:r>
        <w:rPr>
          <w:u w:val="single"/>
        </w:rPr>
        <w:t xml:space="preserve">(a)</w:t>
      </w:r>
      <w:r>
        <w:rPr/>
        <w:t xml:space="preserve">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u w:val="single"/>
        </w:rPr>
        <w:t xml:space="preserve">(b) Awarding agencies are responsible for monitoring apprenticeship utilization hours by contractor. There must be a specific line item in the contract specifying that apprenticeship utilization goals should be met and an expected cost value to be included in the bid associated with meeting the goals. The awarding agency must report the apprenticeship utilization by contractor and subcontractor to the supervisor of apprenticeship at the department of labor and industries by final project acceptance. Awarding agencies must develop a compliance consequence process similar to the three-strike system developed by the Washington state department of transportation, including the allowance for a good faith effort.</w:t>
      </w:r>
    </w:p>
    <w:p>
      <w:pPr>
        <w:spacing w:before="0" w:after="0" w:line="408" w:lineRule="exact"/>
        <w:ind w:left="0" w:right="0" w:firstLine="576"/>
        <w:jc w:val="left"/>
      </w:pPr>
      <w:r>
        <w:rPr/>
        <w:t xml:space="preserve">(5)(a) The department of enterprise services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enterprise services in providing information and technical assistance.</w:t>
      </w:r>
    </w:p>
    <w:p>
      <w:pPr>
        <w:spacing w:before="0" w:after="0" w:line="408" w:lineRule="exact"/>
        <w:ind w:left="0" w:right="0" w:firstLine="576"/>
        <w:jc w:val="left"/>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0" w:after="0" w:line="408" w:lineRule="exact"/>
        <w:ind w:left="0" w:right="0" w:firstLine="576"/>
        <w:jc w:val="left"/>
      </w:pPr>
      <w:r>
        <w:rPr>
          <w:u w:val="single"/>
        </w:rPr>
        <w:t xml:space="preserve">(8) All contracts subject to this section must include specifications that a contractor or subcontractor may not be required to exceed the apprenticeship utilization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the duties established under RCW 49.04.030, the supervisor of apprenticeship must verify compliance by contractors, subcontractors, and awarding agencies of apprenticeship utilization requirements. The supervisor may coordinate with the department of enterprise services, the state department of transportation, the office of the superintendent of public instruction, and any other appropriate agency or organization to assist in tracking compliance.</w:t>
      </w:r>
    </w:p>
    <w:p>
      <w:pPr>
        <w:spacing w:before="0" w:after="0" w:line="408" w:lineRule="exact"/>
        <w:ind w:left="0" w:right="0" w:firstLine="576"/>
        <w:jc w:val="left"/>
      </w:pPr>
      <w:r>
        <w:rPr/>
        <w:t xml:space="preserve">(2) Compliance information must be made available to the apprenticeship council and must be used to determine compliance for purposes of RCW 39.04.350 and 39.12.055.</w:t>
      </w:r>
    </w:p>
    <w:p>
      <w:pPr>
        <w:spacing w:before="0" w:after="0" w:line="408" w:lineRule="exact"/>
        <w:ind w:left="0" w:right="0" w:firstLine="576"/>
        <w:jc w:val="left"/>
      </w:pPr>
      <w:r>
        <w:rPr/>
        <w:t xml:space="preserve">(3) The director of labor and industries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2017 c 258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N</w:t>
      </w:r>
      <w:r>
        <w:rPr/>
        <w:t xml:space="preserve">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w:t>
      </w:r>
      <w:r>
        <w:rPr>
          <w:u w:val="single"/>
        </w:rPr>
        <w:t xml:space="preserve">and</w:t>
      </w:r>
    </w:p>
    <w:p>
      <w:pPr>
        <w:spacing w:before="0" w:after="0" w:line="408" w:lineRule="exact"/>
        <w:ind w:left="0" w:right="0" w:firstLine="576"/>
        <w:jc w:val="left"/>
      </w:pPr>
      <w:r>
        <w:rPr>
          <w:u w:val="single"/>
        </w:rPr>
        <w:t xml:space="preserve">(ii) Not have received a third strike from an awarding agency under the compliance process developed under RCW 39.04.320(4)(b) during the one year immediately preceding the date of the bid solicitation;</w:t>
      </w:r>
    </w:p>
    <w:p>
      <w:pPr>
        <w:spacing w:before="0" w:after="0" w:line="408" w:lineRule="exact"/>
        <w:ind w:left="0" w:right="0" w:firstLine="576"/>
        <w:jc w:val="left"/>
      </w:pPr>
      <w:r>
        <w:rPr/>
        <w:t xml:space="preserve">(f) Until December 31, 2013, not have violated RCW 39.04.370 more than one time as determined by the department of labor and industries;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 Before award of a public works contract, a bidder shall submit to the contracting agency a signed statement in accordance with RCW 9A.72.085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t xml:space="preserve">(3)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(4)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080</w:t>
      </w:r>
      <w:r>
        <w:rPr/>
        <w:t xml:space="preserve"> and 2006 c 230 s 2 are each amended to read as follows:</w:t>
      </w:r>
    </w:p>
    <w:p>
      <w:pPr>
        <w:spacing w:before="0" w:after="0" w:line="408" w:lineRule="exact"/>
        <w:ind w:left="0" w:right="0" w:firstLine="576"/>
        <w:jc w:val="left"/>
      </w:pPr>
      <w:r>
        <w:rPr/>
        <w:t xml:space="preserve">The public works administration account is created in the state treasury. The department of labor and industries shall deposit in the account all moneys received from fees or civil penalties collected under RCW 39.12.050, 39.12.065, and 39.12.070. Appropriations from the account may be made only for the purposes of administration of this chapter, including, but not limited to, the performance of adequate wage surveys</w:t>
      </w:r>
      <w:r>
        <w:t>((</w:t>
      </w:r>
      <w:r>
        <w:rPr>
          <w:strike/>
        </w:rPr>
        <w:t xml:space="preserve">, and</w:t>
      </w:r>
      <w:r>
        <w:t>))</w:t>
      </w:r>
      <w:r>
        <w:rPr>
          <w:u w:val="single"/>
        </w:rPr>
        <w:t xml:space="preserve">;</w:t>
      </w:r>
      <w:r>
        <w:rPr/>
        <w:t xml:space="preserve"> for the investigation and enforcement of all alleged violations of this chapter as provided for in this chapter and chapters 49.48 and 49.52 RCW</w:t>
      </w:r>
      <w:r>
        <w:rPr>
          <w:u w:val="single"/>
        </w:rPr>
        <w:t xml:space="preserve">; and state agency costs for programs required by chapter 39.04 RCW</w:t>
      </w:r>
      <w:r>
        <w:rPr/>
        <w:t xml:space="preserve">.</w:t>
      </w:r>
    </w:p>
    <w:p/>
    <w:p>
      <w:pPr>
        <w:jc w:val="center"/>
      </w:pPr>
      <w:r>
        <w:rPr>
          <w:b/>
        </w:rPr>
        <w:t>--- END ---</w:t>
      </w:r>
    </w:p>
    <w:sectPr>
      <w:pgNumType w:start="1"/>
      <w:footerReference xmlns:r="http://schemas.openxmlformats.org/officeDocument/2006/relationships" r:id="Rfee87718271e4e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ce097da30f4fbf" /><Relationship Type="http://schemas.openxmlformats.org/officeDocument/2006/relationships/footer" Target="/word/footer.xml" Id="Rfee87718271e4eb8" /></Relationships>
</file>