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a9120a99bd4346" /></Relationships>
</file>

<file path=word/document.xml><?xml version="1.0" encoding="utf-8"?>
<w:document xmlns:w="http://schemas.openxmlformats.org/wordprocessingml/2006/main">
  <w:body>
    <w:p>
      <w:r>
        <w:t>S-1666.1</w:t>
      </w:r>
    </w:p>
    <w:p>
      <w:pPr>
        <w:jc w:val="center"/>
      </w:pPr>
      <w:r>
        <w:t>_______________________________________________</w:t>
      </w:r>
    </w:p>
    <w:p/>
    <w:p>
      <w:pPr>
        <w:jc w:val="center"/>
      </w:pPr>
      <w:r>
        <w:rPr>
          <w:b/>
        </w:rPr>
        <w:t>SECOND SUBSTITUTE SENATE BILL 5546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Hawkins, McCoy, Fortunato, Pearson, Braun, Sheldon, Rivers, and O'Ban)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proactively addressing wildfire risk by creating a forest health treatment assessment; adding a new section to chapter 76.06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 such as thinning.</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data and planning needs to carry out recommended treatment, and the estimated cost of recommended treatment.</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 and</w:t>
      </w:r>
    </w:p>
    <w:p>
      <w:pPr>
        <w:spacing w:before="0" w:after="0" w:line="408" w:lineRule="exact"/>
        <w:ind w:left="0" w:right="0" w:firstLine="576"/>
        <w:jc w:val="left"/>
      </w:pPr>
      <w:r>
        <w:rPr/>
        <w:t xml:space="preserve">(b) Establish a forest health advisory committee to assist in developing and implementing the framework. The committee may: (i) Include representation from large and small forest landowners,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expedite initial implementation of the forest health assessment and treatment framework, the department of natural resources: (a) May prioritize and treat lands identified in its 2017-2019 biennial budget request as pilot treatment projects in lieu of the requirements of section 1(2) (a) and (b) of this act; and (b) must conduct assessments in the 2017-2019 biennium for prioritization and treatment in the 2019-2021 biennium.</w:t>
      </w:r>
    </w:p>
    <w:p>
      <w:pPr>
        <w:spacing w:before="0" w:after="0" w:line="408" w:lineRule="exact"/>
        <w:ind w:left="0" w:right="0" w:firstLine="576"/>
        <w:jc w:val="left"/>
      </w:pPr>
      <w:r>
        <w:rPr/>
        <w:t xml:space="preserve">(2) The department of natural resources must establish and implement the forest health assessment and treatment framework within the appropriations specifically provided for this purpose.</w:t>
      </w:r>
    </w:p>
    <w:p>
      <w:pPr>
        <w:spacing w:before="0" w:after="0" w:line="408" w:lineRule="exact"/>
        <w:ind w:left="0" w:right="0" w:firstLine="576"/>
        <w:jc w:val="left"/>
      </w:pPr>
      <w:r>
        <w:rPr/>
        <w:t xml:space="preserve">(3) This section expires June 30, 2019.</w:t>
      </w:r>
    </w:p>
    <w:p/>
    <w:p>
      <w:pPr>
        <w:jc w:val="center"/>
      </w:pPr>
      <w:r>
        <w:rPr>
          <w:b/>
        </w:rPr>
        <w:t>--- END ---</w:t>
      </w:r>
    </w:p>
    <w:sectPr>
      <w:pgNumType w:start="1"/>
      <w:footerReference xmlns:r="http://schemas.openxmlformats.org/officeDocument/2006/relationships" r:id="R5eba31c0ca1640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8546121ef543ea" /><Relationship Type="http://schemas.openxmlformats.org/officeDocument/2006/relationships/footer" Target="/word/footer.xml" Id="R5eba31c0ca1640b0" /></Relationships>
</file>