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c63a7abd0b418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Angel, Honeyford, and Schoesler</w:t>
      </w:r>
    </w:p>
    <w:p/>
    <w:p>
      <w:r>
        <w:rPr>
          <w:t xml:space="preserve">Read first time 01/17/17.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scope of land use control ordinances for purposes of vesting; and amending RCW 19.27.095 and 58.17.033.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w:t>
      </w:r>
      <w:r>
        <w:t>((</w:t>
      </w:r>
      <w:r>
        <w:rPr>
          <w:strike/>
        </w:rPr>
        <w:t xml:space="preserve">in effect at the time of application</w:t>
      </w:r>
      <w:r>
        <w:t>))</w:t>
      </w:r>
      <w:r>
        <w:rPr/>
        <w:t xml:space="preserve">, </w:t>
      </w:r>
      <w:r>
        <w:rPr>
          <w:u w:val="single"/>
        </w:rPr>
        <w:t xml:space="preserve">the environmental and development regulations,</w:t>
      </w:r>
      <w:r>
        <w:rPr/>
        <w:t xml:space="preserve"> and the zoning or other land use control ordinances</w:t>
      </w:r>
      <w:r>
        <w:rPr>
          <w:u w:val="single"/>
        </w:rPr>
        <w:t xml:space="preserve">,</w:t>
      </w:r>
      <w:r>
        <w:rPr/>
        <w:t xml:space="preserve"> in effect on the date of application</w:t>
      </w:r>
      <w:r>
        <w:rPr>
          <w:u w:val="single"/>
        </w:rPr>
        <w:t xml:space="preserve">, without respect to whether the regulation or ordinance was enacted for the purpose of complying with state law</w:t>
      </w:r>
      <w:r>
        <w:rPr/>
        <w:t xml:space="preserve">.</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033</w:t>
      </w:r>
      <w:r>
        <w:rPr/>
        <w:t xml:space="preserve"> and 1987 c 104 s 2 are each amended to read as follows:</w:t>
      </w:r>
    </w:p>
    <w:p>
      <w:pPr>
        <w:spacing w:before="0" w:after="0" w:line="408" w:lineRule="exact"/>
        <w:ind w:left="0" w:right="0" w:firstLine="576"/>
        <w:jc w:val="left"/>
      </w:pPr>
      <w:r>
        <w:rPr/>
        <w:t xml:space="preserve">(1) A proposed division of land, as defined in RCW 58.17.020, shall be considered under the subdivision or short subdivision ordinance, </w:t>
      </w:r>
      <w:r>
        <w:rPr>
          <w:u w:val="single"/>
        </w:rPr>
        <w:t xml:space="preserve">the environmental and development regulations,</w:t>
      </w:r>
      <w:r>
        <w:rPr/>
        <w:t xml:space="preserve"> and </w:t>
      </w:r>
      <w:r>
        <w:rPr>
          <w:u w:val="single"/>
        </w:rPr>
        <w:t xml:space="preserve">the</w:t>
      </w:r>
      <w:r>
        <w:rPr/>
        <w:t xml:space="preserve"> zoning or other land use control ordinances, in effect on the land</w:t>
      </w:r>
      <w:r>
        <w:rPr>
          <w:u w:val="single"/>
        </w:rPr>
        <w:t xml:space="preserve">, without respect to whether the regulation or ordinance was enacted for the purpose of complying with state law,</w:t>
      </w:r>
      <w:r>
        <w:rPr/>
        <w:t xml:space="preserve"> at the time a fully completed application for preliminary plat approval of the subdivision, or short plat approval of the short subdivision, has been submitted to the appropriate county, city, or town official.</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54283876fb8442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ae4196a874c6c" /><Relationship Type="http://schemas.openxmlformats.org/officeDocument/2006/relationships/footer" Target="/word/footer.xml" Id="R54283876fb844282" /></Relationships>
</file>