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64f42e80e42b8" /></Relationships>
</file>

<file path=word/document.xml><?xml version="1.0" encoding="utf-8"?>
<w:document xmlns:w="http://schemas.openxmlformats.org/wordprocessingml/2006/main">
  <w:body>
    <w:p>
      <w:r>
        <w:t>S-0190.1</w:t>
      </w:r>
    </w:p>
    <w:p>
      <w:pPr>
        <w:jc w:val="center"/>
      </w:pPr>
      <w:r>
        <w:t>_______________________________________________</w:t>
      </w:r>
    </w:p>
    <w:p/>
    <w:p>
      <w:pPr>
        <w:jc w:val="center"/>
      </w:pPr>
      <w:r>
        <w:rPr>
          <w:b/>
        </w:rPr>
        <w:t>SENATE BILL 5147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and King</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certain maximum vehicle length limitations; and amending RCW 46.44.034.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034</w:t>
      </w:r>
      <w:r>
        <w:rPr/>
        <w:t xml:space="preserve"> and 1997 c 191 s 1 are each amended to read as follows:</w:t>
      </w:r>
    </w:p>
    <w:p>
      <w:pPr>
        <w:spacing w:before="0" w:after="0" w:line="408" w:lineRule="exact"/>
        <w:ind w:left="0" w:right="0" w:firstLine="576"/>
        <w:jc w:val="left"/>
      </w:pPr>
      <w:r>
        <w:rPr/>
        <w:t xml:space="preserve">(1) The load, or any portion of any vehicle, operated alone upon the public highway of this state, or the load, or any portion of the front vehicle of a combination of vehicles, shall not extend more than three feet beyond the front wheels of such vehicle, or the front bumper, if equipped with front bumper. This subsection does not apply to a </w:t>
      </w:r>
      <w:r>
        <w:rPr>
          <w:u w:val="single"/>
        </w:rPr>
        <w:t xml:space="preserve">(a)</w:t>
      </w:r>
      <w:r>
        <w:rPr/>
        <w:t xml:space="preserve"> front-loading garbage truck or recycling truck while on route and actually engaged in the collection of solid waste or recyclables at speeds of twenty miles per hour or less </w:t>
      </w:r>
      <w:r>
        <w:rPr>
          <w:u w:val="single"/>
        </w:rPr>
        <w:t xml:space="preserve">or (b) public transit vehicle equipped with a bike rack</w:t>
      </w:r>
      <w:r>
        <w:rPr/>
        <w:t xml:space="preserve">.</w:t>
      </w:r>
    </w:p>
    <w:p>
      <w:pPr>
        <w:spacing w:before="0" w:after="0" w:line="408" w:lineRule="exact"/>
        <w:ind w:left="0" w:right="0" w:firstLine="576"/>
        <w:jc w:val="left"/>
      </w:pPr>
      <w:r>
        <w:rPr/>
        <w:t xml:space="preserve">(2) No vehicle shall be operated upon the public highways with any part of the permanent structure or load extending in excess of fifteen feet beyond the center of the last axle of such vehicle. This subsection does not apply to "specialized equipment" designated under 49 U.S.C. Sec. 2311 that is operated on the interstate highway system, those designated portions of the federal-aid primary system, and routes constituting reasonable access from such highways to terminals and facilities for food, fuel, repairs, and rest.</w:t>
      </w:r>
    </w:p>
    <w:p/>
    <w:p>
      <w:pPr>
        <w:jc w:val="center"/>
      </w:pPr>
      <w:r>
        <w:rPr>
          <w:b/>
        </w:rPr>
        <w:t>--- END ---</w:t>
      </w:r>
    </w:p>
    <w:sectPr>
      <w:pgNumType w:start="1"/>
      <w:footerReference xmlns:r="http://schemas.openxmlformats.org/officeDocument/2006/relationships" r:id="R4560fff532d9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57dbbf8a842fe" /><Relationship Type="http://schemas.openxmlformats.org/officeDocument/2006/relationships/footer" Target="/word/footer.xml" Id="R4560fff532d94a0d" /></Relationships>
</file>