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d4134d7944aa7" /></Relationships>
</file>

<file path=word/document.xml><?xml version="1.0" encoding="utf-8"?>
<w:document xmlns:w="http://schemas.openxmlformats.org/wordprocessingml/2006/main">
  <w:body>
    <w:p>
      <w:r>
        <w:t>S-1109.2</w:t>
      </w:r>
    </w:p>
    <w:p>
      <w:pPr>
        <w:jc w:val="center"/>
      </w:pPr>
      <w:r>
        <w:t>_______________________________________________</w:t>
      </w:r>
    </w:p>
    <w:p/>
    <w:p>
      <w:pPr>
        <w:jc w:val="center"/>
      </w:pPr>
      <w:r>
        <w:rPr>
          <w:b/>
        </w:rPr>
        <w:t>SUBSTITUTE SENATE BILL 5106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 O'Ban)</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obligations under the involuntary treatment act; amending RCW 71.05.201, 71.05.203, 71.05.203, 71.05.590, 71.05.590, 71.05.590, 71.05.154, and 71.05.154; reenacting and amending RCW 71.05.201; creating a new section; providing effective dates;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One – Joel's Law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c 107 s 1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mental health professional investigation or the request for a designated mental health professional investigation. If more than ten days have elapsed, the immediate family member, guardian, or conservator must request a new designated mental health professional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mental health professional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mental health professional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mental health professional. The designated mental health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mental health professional</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sp.s. c 29 s 222 and 2016 c 107 s 1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crisis responder investigation or the request for a designated crisis responder investigation. If more than ten days have elapsed, the immediate family member, guardian, or conservator must request a new designated crisis responder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w:t>
      </w:r>
      <w:r>
        <w:t>((</w:t>
      </w:r>
      <w:r>
        <w:rPr>
          <w:strike/>
        </w:rPr>
        <w:t xml:space="preserve">mental health professional</w:t>
      </w:r>
      <w:r>
        <w:t>))</w:t>
      </w:r>
      <w:r>
        <w:rPr/>
        <w:t xml:space="preserve"> </w:t>
      </w:r>
      <w:r>
        <w:rPr>
          <w:u w:val="single"/>
        </w:rPr>
        <w:t xml:space="preserve">crisis responder</w:t>
      </w:r>
      <w:r>
        <w:rPr/>
        <w:t xml:space="preserve">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crisis responder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w:t>
      </w:r>
    </w:p>
    <w:p>
      <w:pPr>
        <w:spacing w:before="0" w:after="0" w:line="408" w:lineRule="exact"/>
        <w:ind w:left="0" w:right="0" w:firstLine="576"/>
        <w:jc w:val="left"/>
      </w:pPr>
      <w:r>
        <w:rPr>
          <w:u w:val="single"/>
        </w:rPr>
        <w:t xml:space="preserve">(3) A designated mental health professional or designated mental health professional agency must, upon request, disclose the date of a designated mental health professional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w:t>
      </w:r>
    </w:p>
    <w:p>
      <w:pPr>
        <w:spacing w:before="0" w:after="0" w:line="408" w:lineRule="exact"/>
        <w:ind w:left="0" w:right="0" w:firstLine="576"/>
        <w:jc w:val="left"/>
      </w:pPr>
      <w:r>
        <w:rPr>
          <w:u w:val="single"/>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15, 2017, the administrative office of the courts, in collaboration with stakeholders, including but not limited to judges, prosecutors, defense attorneys, the department of social and health services, behavioral health advocates, and families, shall: (1) Develop a user's guide to assist pro se litigants in the preparation and filing of a Joel's law petition; and (2) develop a model order of detention under RCW 71.05.201 which contains an advisement of rights for the detained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April 1, 2018.</w:t>
      </w:r>
    </w:p>
    <w:p>
      <w:pPr>
        <w:spacing w:before="240" w:after="0" w:line="408" w:lineRule="exact"/>
        <w:ind w:left="0" w:right="0" w:firstLine="576"/>
        <w:jc w:val="center"/>
      </w:pPr>
      <w:r>
        <w:rPr>
          <w:b/>
        </w:rPr>
        <w:t xml:space="preserve">Part Two – Less Restrictive Alternative Revocations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mental health professional</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mental health professional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mental health professional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 advise, or admonish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of revocation,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240" w:after="0" w:line="408" w:lineRule="exact"/>
        <w:ind w:left="0" w:right="0" w:firstLine="576"/>
        <w:jc w:val="center"/>
      </w:pPr>
      <w:r>
        <w:rPr>
          <w:b/>
        </w:rPr>
        <w:t xml:space="preserve">Part Three – Initial Detention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If a person subject to evaluation under RCW 71.05.150 or 71.05.153 is located in an emergency room at the time of evaluation, the</w:t>
      </w:r>
      <w:r>
        <w:rPr/>
        <w:t xml:space="preserve"> designated mental health professional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mental health professional</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mental health professional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w:t>
      </w:r>
      <w:r>
        <w:rPr>
          <w:strike/>
        </w:rPr>
        <w:t xml:space="preserve">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0" w:after="0" w:line="408" w:lineRule="exact"/>
        <w:ind w:left="0" w:right="0" w:firstLine="576"/>
        <w:jc w:val="left"/>
      </w:pPr>
      <w:r>
        <w:rPr>
          <w:u w:val="single"/>
        </w:rPr>
        <w:t xml:space="preserve">(2) This section does not create an exception to the general rule under RCW 71.05.010, which creates a presumption that courts should decide petitions under this chapter on their merits in light of the state's parens patriae or police power interest in protecting the safety of individuals and the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2016 sp.s. c 29 s 214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(1) If a person subject to evaluation under RCW 71.05.150 or 71.05.153 is located in an emergency room at the time of evaluation, the</w:t>
      </w:r>
      <w:r>
        <w:rPr/>
        <w:t xml:space="preserve"> designated crisis responder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crisis responder</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crisis responder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0" w:after="0" w:line="408" w:lineRule="exact"/>
        <w:ind w:left="0" w:right="0" w:firstLine="576"/>
        <w:jc w:val="left"/>
      </w:pPr>
      <w:r>
        <w:rPr>
          <w:u w:val="single"/>
        </w:rPr>
        <w:t xml:space="preserve">(2) This section does not create an exception to the general rule under RCW 71.05.010, which creates a presumption that courts should decide petitions under this chapter on their merits in light of the state's parens patriae or police power interest in protecting the safety of individuals and the public.</w:t>
      </w:r>
    </w:p>
    <w:p>
      <w:pPr>
        <w:spacing w:before="240" w:after="0" w:line="408" w:lineRule="exact"/>
        <w:ind w:left="0" w:right="0" w:firstLine="576"/>
        <w:jc w:val="center"/>
      </w:pPr>
      <w:r>
        <w:rPr>
          <w:b/>
        </w:rPr>
        <w:t xml:space="preserve">Part Four - Technical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and 11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12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 of this act takes effect July 1, 2026.</w:t>
      </w:r>
    </w:p>
    <w:p/>
    <w:p>
      <w:pPr>
        <w:jc w:val="center"/>
      </w:pPr>
      <w:r>
        <w:rPr>
          <w:b/>
        </w:rPr>
        <w:t>--- END ---</w:t>
      </w:r>
    </w:p>
    <w:sectPr>
      <w:pgNumType w:start="1"/>
      <w:footerReference xmlns:r="http://schemas.openxmlformats.org/officeDocument/2006/relationships" r:id="Raf6c1f8308d445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a22470c12d4491" /><Relationship Type="http://schemas.openxmlformats.org/officeDocument/2006/relationships/footer" Target="/word/footer.xml" Id="Raf6c1f8308d445da" /></Relationships>
</file>