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5afc4ba2a42a9" /></Relationships>
</file>

<file path=word/document.xml><?xml version="1.0" encoding="utf-8"?>
<w:document xmlns:w="http://schemas.openxmlformats.org/wordprocessingml/2006/main">
  <w:body>
    <w:p>
      <w:r>
        <w:t>S-2363.1</w:t>
      </w:r>
    </w:p>
    <w:p>
      <w:pPr>
        <w:jc w:val="center"/>
      </w:pPr>
      <w:r>
        <w:t>_______________________________________________</w:t>
      </w:r>
    </w:p>
    <w:p/>
    <w:p>
      <w:pPr>
        <w:jc w:val="center"/>
      </w:pPr>
      <w:r>
        <w:rPr>
          <w:b/>
        </w:rPr>
        <w:t>SUBSTITUTE SENATE BILL 5090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Honeyford and Frockt; by request of Office of Financial Management)</w:t>
      </w:r>
    </w:p>
    <w:p/>
    <w:p>
      <w:r>
        <w:rPr>
          <w:t xml:space="preserve">READ FIRST TIME 03/30/17.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43.99G.170, and 43.99G.180; adding a new section to chapter 43.99H RCW; adding a new section to chapter 28B.14H RCW;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five hundred eighty-six million eight hundred fifty-eight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four hundred eighty-two million nine hundred eighty-nine thousand dollars to remain in the state building construction account created by RCW 43.83.020;</w:t>
      </w:r>
    </w:p>
    <w:p>
      <w:pPr>
        <w:spacing w:before="0" w:after="0" w:line="408" w:lineRule="exact"/>
        <w:ind w:left="0" w:right="0" w:firstLine="576"/>
        <w:jc w:val="left"/>
      </w:pPr>
      <w:r>
        <w:rPr/>
        <w:t xml:space="preserve">(b) Seventy-eight million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taxable bond development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180</w:t>
      </w:r>
      <w:r>
        <w:rPr/>
        <w:t xml:space="preserve"> and 2006 c 167 s 401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rehabilitation of Puget Sound, the state finance committee is authorized to issue general obligation bonds of the state of Washington in the sum of seven million three hundred seventy</w:t>
      </w:r>
      <w:r>
        <w:rPr/>
        <w:noBreakHyphen/>
      </w:r>
      <w:r>
        <w:rPr/>
        <w:t xml:space="preserve">five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2017, the authority of the state finance committee to issue such remaining unissued bonds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aa0b2f469e14d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893b9a97374863" /><Relationship Type="http://schemas.openxmlformats.org/officeDocument/2006/relationships/footer" Target="/word/footer.xml" Id="Rfaa0b2f469e14dc0" /></Relationships>
</file>