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5b980a4024486" /></Relationships>
</file>

<file path=word/document.xml><?xml version="1.0" encoding="utf-8"?>
<w:document xmlns:w="http://schemas.openxmlformats.org/wordprocessingml/2006/main">
  <w:body>
    <w:p>
      <w:r>
        <w:t>Z-0374.1</w:t>
      </w:r>
    </w:p>
    <w:p>
      <w:pPr>
        <w:jc w:val="center"/>
      </w:pPr>
      <w:r>
        <w:t>_______________________________________________</w:t>
      </w:r>
    </w:p>
    <w:p/>
    <w:p>
      <w:pPr>
        <w:jc w:val="center"/>
      </w:pPr>
      <w:r>
        <w:rPr>
          <w:b/>
        </w:rPr>
        <w:t>SENATE BILL 5047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Ranker; by request of Office of Financial Management</w:t>
      </w:r>
    </w:p>
    <w:p/>
    <w:p>
      <w:r>
        <w:rPr>
          <w:t xml:space="preserve">Read first time 01/11/17.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2016 1st sp.s. c 36 ss 112, 113, 114, 117, 118, 120, 121, 124, 125, 127, 128, 130, 131, 132, 134, 135, 136, 137, 139, 141, 143, 147, 148, 149, 201, 202, 203, 204, 205, 206, 207, 208, 209, 210, 211, 212, 213, 214, 216, 217, 218, 219, 220, 221, 301, 302, 303, 304, 305, 306, 307, 308, 310, 311, 402, 501, 502, 503, 504, 505, 506, 507, 508, 509, 511, 512, 513, 516, 517, 602, 604, 605, 606, 607, 608, 609, 610, 611, 612, 613, 615, 617, 701, 706, 801, and 804 (uncodified); amending 2015 3rd sp.s. c 4 ss 108, 125, 506, 703, and 710 (uncodified); adding new sections to 2015 3rd sp.s. c 4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2016 1st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$17,356,000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$57,917,000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$5,614,000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$29,136,000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6238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$47,684,000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$133,224,000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$385,425,000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2016 1st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2016</w:t>
      </w:r>
      <w:r>
        <w:t>))</w:t>
      </w:r>
      <w:r>
        <w:rPr/>
        <w:t xml:space="preserve"> </w:t>
      </w:r>
      <w:r>
        <w:rPr>
          <w:u w:val="single"/>
        </w:rPr>
        <w:t xml:space="preserve">2017</w:t>
      </w:r>
      <w:r>
        <w:rPr/>
        <w:t xml:space="preserve">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$348,434,000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$511,799,000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$1,195,270,000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$2,470,000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$192,575,000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$350,885,000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$993,892,000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$1,680,080,000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$13,761,000 of the general fund—state appropriation for fiscal year 2017, and $17,918,000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$238,579,000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$166,064,000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$50,569,000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$640,720,000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$3,789,000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$10,259,000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$33,064,000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$565,713,000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$1,086,776,000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$2,168,590,000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$994,902,000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$2,375,572,000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$4,451,416,000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$197.33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$405,957,000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$1,309,579,000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$2,130,552,000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$163,789,000</w:t>
      </w:r>
      <w:r>
        <w:rPr/>
        <w:t xml:space="preserve"> of the general fund—state appropriation for fiscal year 2017, </w:t>
      </w:r>
      <w:r>
        <w:t>((</w:t>
      </w:r>
      <w:r>
        <w:rPr>
          <w:strike/>
        </w:rPr>
        <w:t xml:space="preserve">$779,366,000</w:t>
      </w:r>
      <w:r>
        <w:t>))</w:t>
      </w:r>
      <w:r>
        <w:rPr/>
        <w:t xml:space="preserve"> </w:t>
      </w:r>
      <w:r>
        <w:rPr>
          <w:u w:val="single"/>
        </w:rPr>
        <w:t xml:space="preserve">$799,758,000</w:t>
      </w:r>
      <w:r>
        <w:rPr/>
        <w:t xml:space="preserve"> of the general fund—federal appropriation, and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$302,524,000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$164,837,000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$475,003,000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$174,135,000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$505,129,000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$699,822,000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$42,079,000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$2,078,504,000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$11,566,020,000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$91,664,000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$687,302,000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$12,979,000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$75,000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$16,429,267,000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$121,599,000 of the general fund—state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$1,915,233,000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$218,968,000</w:t>
      </w:r>
      <w:r>
        <w:rPr/>
        <w:t xml:space="preserve"> of the general fund—federal appropriation </w:t>
      </w:r>
      <w:r>
        <w:rPr>
          <w:u w:val="single"/>
        </w:rPr>
        <w:t xml:space="preserve">and $23,132,000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w:t>
      </w:r>
      <w:r>
        <w:t>))</w:t>
      </w:r>
      <w:r>
        <w:rPr/>
        <w:t xml:space="preserve"> </w:t>
      </w:r>
      <w:r>
        <w:rPr>
          <w:u w:val="single"/>
        </w:rPr>
        <w:t xml:space="preserve">Funds</w:t>
      </w:r>
      <w:r>
        <w:rPr/>
        <w:t xml:space="preserve">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(f) </w:t>
      </w:r>
      <w:r>
        <w:t>((</w:t>
      </w:r>
      <w:r>
        <w:rPr>
          <w:strike/>
        </w:rPr>
        <w:t xml:space="preserve">No more than $9,425,000 of the general fund—federal appropriation</w:t>
      </w:r>
      <w:r>
        <w:t>))</w:t>
      </w:r>
      <w:r>
        <w:rPr/>
        <w:t xml:space="preserve"> </w:t>
      </w:r>
      <w:r>
        <w:rPr>
          <w:u w:val="single"/>
        </w:rPr>
        <w:t xml:space="preserve">Funds</w:t>
      </w:r>
      <w:r>
        <w:rPr/>
        <w:t xml:space="preserve">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(g) </w:t>
      </w:r>
      <w:r>
        <w:t>((</w:t>
      </w:r>
      <w:r>
        <w:rPr>
          <w:strike/>
        </w:rPr>
        <w:t xml:space="preserve">No more than $5,567,000 of the general fund—federal appropriation</w:t>
      </w:r>
      <w:r>
        <w:t>))</w:t>
      </w:r>
      <w:r>
        <w:rPr/>
        <w:t xml:space="preserve"> </w:t>
      </w:r>
      <w:r>
        <w:rPr>
          <w:u w:val="single"/>
        </w:rPr>
        <w:t xml:space="preserve">Funds</w:t>
      </w:r>
      <w:r>
        <w:rPr/>
        <w:t xml:space="preserve">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(h)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(j)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(k)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(l)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(m)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(n)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rPr/>
        <w:t xml:space="preserve">(o)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(p)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(q)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$9,855,000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rPr/>
        <w:t xml:space="preserve">(r)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(s)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(t)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(u)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(v)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(w) Sufficient amounts are appropriated in this section for the authority to provide an adult dental benefit.</w:t>
      </w:r>
    </w:p>
    <w:p>
      <w:pPr>
        <w:spacing w:before="0" w:after="0" w:line="408" w:lineRule="exact"/>
        <w:ind w:left="0" w:right="0" w:firstLine="576"/>
        <w:jc w:val="left"/>
      </w:pPr>
      <w:r>
        <w:rPr/>
        <w:t xml:space="preserve">(x)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(y)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(z)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(aa)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(bb)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(cc)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(dd)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(ee)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rPr/>
        <w:t xml:space="preserve">(ff)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rPr/>
        <w:t xml:space="preserve">(gg)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rPr/>
        <w:t xml:space="preserve">(hh)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(ii)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(jj)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(kk)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rPr/>
        <w:t xml:space="preserve">(ll)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(mm)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(nn)(i)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(oo)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(pp)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rPr/>
        <w:t xml:space="preserve">(qq)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t xml:space="preserve">(rr)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(ss)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(tt)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rPr/>
        <w:t xml:space="preserve">(uu)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rPr/>
        <w:t xml:space="preserve">(vv)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rPr/>
        <w:t xml:space="preserve">(ww)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$38,732,000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$46,087,000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$54,635,000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$5,562,000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$283,894,000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$298,192,000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$710,073,000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$112,919,000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$60,766,000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$119,945,000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$638,211,000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$5,112,000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$1,252,699,000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$1,379,000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$167,568,000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$325,739,000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$7,261,000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$13,861,000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$53,442,000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$107,922,000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2016 1st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$4,300,000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$166,446,000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$250,000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$117,456,000</w:t>
      </w:r>
      <w:r>
        <w:t>))</w:t>
      </w:r>
    </w:p>
    <w:p>
      <w:pPr>
        <w:spacing w:before="0" w:after="0" w:line="408" w:lineRule="exact"/>
        <w:ind w:left="0" w:right="0" w:firstLine="0"/>
        <w:jc w:val="left"/>
        <w:tabs>
          <w:tab w:val="right" w:leader="none" w:pos="9936"/>
        </w:tabs>
      </w:pPr>
      <w:r>
        <w:tab/>
      </w:r>
      <w:r>
        <w:rPr>
          <w:u w:val="single"/>
        </w:rPr>
        <w:t xml:space="preserve">$117,614,000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$72,458,000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$30,631,000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$1,971,000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$376,133,000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$38,510,000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2016 1st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$41,886,000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$147,106,000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2016 1st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$6,739,361,000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$13,210,798,000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students1.025</w:t>
      </w:r>
    </w:p>
    <w:p>
      <w:pPr>
        <w:spacing w:before="0" w:after="0" w:line="408" w:lineRule="exact"/>
        <w:ind w:left="0" w:right="0" w:firstLine="0"/>
        <w:jc w:val="left"/>
      </w:pPr>
      <w:r>
        <w:rPr/>
        <w:t xml:space="preserve">Skill Center students1.198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$266,571,000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$404,501,000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$494,171,000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$990,627,000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$864,937,000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$2,212,835,000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$24,266,000</w:t>
      </w:r>
      <w:r>
        <w:rPr/>
        <w:t xml:space="preserve"> of the general fund—state appropriation for fiscal year 2017, and </w:t>
      </w:r>
      <w:r>
        <w:t>((</w:t>
      </w:r>
      <w:r>
        <w:rPr>
          <w:strike/>
        </w:rPr>
        <w:t xml:space="preserve">$27,350,000</w:t>
      </w:r>
      <w:r>
        <w:t>))</w:t>
      </w:r>
      <w:r>
        <w:rPr/>
        <w:t xml:space="preserve"> </w:t>
      </w:r>
      <w:r>
        <w:rPr>
          <w:u w:val="single"/>
        </w:rPr>
        <w:t xml:space="preserve">$17,787,000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$8,191,000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$16,399,000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$400,200,000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$775,822,000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$13,592,000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$26,831,000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$10,160,000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$319,929,000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$234,614,000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$953,393,000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$11,246,000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2016 1st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$667,049,000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$1,413,379,000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 $17,058,000 of the general fund—state appropriation for fiscal year 2016 and $17,506,000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w:t>
      </w:r>
      <w:r>
        <w:t>((</w:t>
      </w:r>
      <w:r>
        <w:rPr>
          <w:strike/>
        </w:rPr>
        <w:t xml:space="preserve">to conduct a feasibility study for a potential new community and technical college in</w:t>
      </w:r>
      <w:r>
        <w:t>))</w:t>
      </w:r>
      <w:r>
        <w:rPr/>
        <w:t xml:space="preserve"> </w:t>
      </w:r>
      <w:r>
        <w:rPr>
          <w:u w:val="single"/>
        </w:rPr>
        <w:t xml:space="preserve">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$208,092,000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$27,068,000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$48,245,000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$9,698,000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$10,826,000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$25,526,000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$3,327,000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$67,101,000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$134,285,000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$14,819,000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$76,874,000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$732,953,000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$9,374,000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$630,118,000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 </w:t>
      </w:r>
    </w:p>
    <w:p>
      <w:pPr>
        <w:spacing w:before="0" w:after="0" w:line="408" w:lineRule="exact"/>
        <w:ind w:left="0" w:right="0" w:firstLine="576"/>
        <w:jc w:val="left"/>
      </w:pPr>
      <w:r>
        <w:rPr/>
        <w:t xml:space="preserve">(10) $23,529,000 of the general fund—state appropriation for fiscal year 2016, $41,087,000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$12,828,000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2016 1st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 </w:t>
      </w:r>
      <w:r>
        <w:tab/>
      </w:r>
      <w:r>
        <w:rPr>
          <w:u w:val="single"/>
        </w:rPr>
        <w:t xml:space="preserve">$5,000,000</w:t>
      </w:r>
    </w:p>
    <w:p>
      <w:pPr>
        <w:tabs>
          <w:tab w:val="right" w:leader="dot" w:pos="9936"/>
        </w:tabs>
        <w:ind w:left="0" w:right="0" w:firstLine="1440"/>
      </w:pPr>
      <w:r>
        <w:rPr>
          <w:u w:val="single"/>
        </w:rPr>
        <w:t xml:space="preserve">TOTAL APPROPRIATION</w:t>
      </w:r>
      <w:r>
        <w:tab/>
      </w:r>
      <w:r>
        <w:rPr>
          <w:u w:val="single"/>
        </w:rPr>
        <w:t xml:space="preserve">$10,000,000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expenditure into the cancer research endowment fund match transfer account under Substitute Senate Bill No. 6096 (cancer research). If the bill is not enacted by July 10, 2015,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to fund existing expenditures due to a delay in receiving federal fire management grant proceeds.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1st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$9,225,000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$56,652,000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$3,848,000</w:t>
      </w:r>
      <w:r>
        <w:t>))</w:t>
      </w:r>
    </w:p>
    <w:p>
      <w:pPr>
        <w:spacing w:before="0" w:after="0" w:line="408" w:lineRule="exact"/>
        <w:ind w:left="0" w:right="0" w:firstLine="0"/>
        <w:jc w:val="left"/>
        <w:tabs>
          <w:tab w:val="right" w:leader="none" w:pos="9936"/>
        </w:tabs>
      </w:pPr>
      <w:r>
        <w:tab/>
      </w:r>
      <w:r>
        <w:rPr>
          <w:u w:val="single"/>
        </w:rPr>
        <w:t xml:space="preserve">$3,495,000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$86,178,000</w:t>
      </w:r>
      <w:r>
        <w:t>))</w:t>
      </w:r>
    </w:p>
    <w:p>
      <w:pPr>
        <w:spacing w:before="0" w:after="0" w:line="408" w:lineRule="exact"/>
        <w:ind w:left="0" w:right="0" w:firstLine="0"/>
        <w:jc w:val="left"/>
        <w:tabs>
          <w:tab w:val="right" w:leader="none" w:pos="9936"/>
        </w:tabs>
      </w:pPr>
      <w:r>
        <w:tab/>
      </w:r>
      <w:r>
        <w:rPr>
          <w:u w:val="single"/>
        </w:rPr>
        <w:t xml:space="preserve">$85,899,000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$33,493,000</w:t>
      </w:r>
      <w:r>
        <w:t>))</w:t>
      </w:r>
    </w:p>
    <w:p>
      <w:pPr>
        <w:spacing w:before="0" w:after="0" w:line="408" w:lineRule="exact"/>
        <w:ind w:left="0" w:right="0" w:firstLine="0"/>
        <w:jc w:val="left"/>
        <w:tabs>
          <w:tab w:val="right" w:leader="none" w:pos="9936"/>
        </w:tabs>
      </w:pPr>
      <w:r>
        <w:tab/>
      </w:r>
      <w:r>
        <w:rPr>
          <w:u w:val="single"/>
        </w:rPr>
        <w:t xml:space="preserve">$33,759,000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$24,899,000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$50,680,000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$46,465,000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$505,373,000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$23,364,000</w:t>
      </w:r>
      <w:r>
        <w:t>))</w:t>
      </w:r>
      <w:r>
        <w:rPr/>
        <w:t xml:space="preserve"> </w:t>
      </w:r>
      <w:r>
        <w:rPr>
          <w:u w:val="single"/>
        </w:rPr>
        <w:t xml:space="preserve">$23,067,000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$46,465,000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$115,000,000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$165,000,000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t>((</w:t>
      </w:r>
      <w:r>
        <w:rPr>
          <w:strike/>
        </w:rPr>
        <w:t xml:space="preserve">$26,000,000</w:t>
      </w:r>
      <w:r>
        <w:t>))</w:t>
      </w:r>
    </w:p>
    <w:p>
      <w:pPr>
        <w:spacing w:before="0" w:after="0" w:line="408" w:lineRule="exact"/>
        <w:ind w:left="0" w:right="0" w:firstLine="0"/>
        <w:jc w:val="left"/>
        <w:tabs>
          <w:tab w:val="right" w:leader="none" w:pos="9936"/>
        </w:tabs>
      </w:pPr>
      <w:r>
        <w:tab/>
      </w:r>
      <w:r>
        <w:rPr>
          <w:u w:val="single"/>
        </w:rPr>
        <w:t xml:space="preserve">$26,950,000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$25,400,000</w:t>
      </w:r>
      <w:r>
        <w:t>))</w:t>
      </w:r>
    </w:p>
    <w:p>
      <w:pPr>
        <w:spacing w:before="0" w:after="0" w:line="408" w:lineRule="exact"/>
        <w:ind w:left="0" w:right="0" w:firstLine="0"/>
        <w:jc w:val="left"/>
        <w:tabs>
          <w:tab w:val="right" w:leader="none" w:pos="9936"/>
        </w:tabs>
      </w:pPr>
      <w:r>
        <w:tab/>
      </w:r>
      <w:r>
        <w:rPr>
          <w:u w:val="single"/>
        </w:rPr>
        <w:t xml:space="preserve">$26,700,000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85784b90ae642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fb04767eb481c" /><Relationship Type="http://schemas.openxmlformats.org/officeDocument/2006/relationships/footer" Target="/word/footer.xml" Id="Rc85784b90ae64259" /></Relationships>
</file>