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03402548948ac" /></Relationships>
</file>

<file path=word/document.xml><?xml version="1.0" encoding="utf-8"?>
<w:document xmlns:w="http://schemas.openxmlformats.org/wordprocessingml/2006/main">
  <w:body>
    <w:p>
      <w:r>
        <w:t>S-0818.2</w:t>
      </w:r>
    </w:p>
    <w:p>
      <w:pPr>
        <w:jc w:val="center"/>
      </w:pPr>
      <w:r>
        <w:t>_______________________________________________</w:t>
      </w:r>
    </w:p>
    <w:p/>
    <w:p>
      <w:pPr>
        <w:jc w:val="center"/>
      </w:pPr>
      <w:r>
        <w:rPr>
          <w:b/>
        </w:rPr>
        <w:t>SUBSTITUTE SENATE BILL 5001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O'Ban, Angel, Miloscia, Becker, Padden, Honeyford, King, and Fortunato)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new sections; repealing RCW 81.112.040;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eleven directly elected nonpartisan members. One nonpartisan member must be elected from each of the eleven numbered districts in primary and general elections commencing with the elections held in 2018.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eleven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do not exceed five electoral districts solely in one county;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2018 general election, terms of office of an authority's board members expire, if any are existing on the effective date of this section, and the eleven elected nonpartisan members must take office. Each elected member must serve the remainder of 2018 plus an additional period of two or four years. Lots must be drawn to determine which six of the eleven elected members must serve an additional four years, and which five of the eleven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compensation up to ten thousand dollars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upon certification of the 2018 general election results as described under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must provide notice of the effective date of section 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9fb3e022886143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539ad03e824c30" /><Relationship Type="http://schemas.openxmlformats.org/officeDocument/2006/relationships/footer" Target="/word/footer.xml" Id="R9fb3e0228861432e" /></Relationships>
</file>