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771149de894d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2990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Young, and Muri)</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Tacoma Narrows bridge debt service payment plan; amending RCW 47.46.110; and adding new sections to chapter 47.46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Due to the findings aforementioned, an alternative is put forward by the legislature. State contribution loans for each fiscal biennium are to be made through the life of the debt service plan of up to a total of eighty-five million dollars, and will be repaid in annual amounts beginning after the debt service and deferred sales tax are fully repaid. It is the intent of the legislature that the commission will:</w:t>
      </w:r>
    </w:p>
    <w:p>
      <w:pPr>
        <w:spacing w:before="0" w:after="0" w:line="408" w:lineRule="exact"/>
        <w:ind w:left="0" w:right="0" w:firstLine="576"/>
        <w:jc w:val="left"/>
      </w:pPr>
      <w:r>
        <w:rPr/>
        <w:t xml:space="preserve">(a) Maintain tolls at no more than toll rates effective at the fiscal year 2018 level until fiscal year 2022; and</w:t>
      </w:r>
    </w:p>
    <w:p>
      <w:pPr>
        <w:spacing w:before="0" w:after="0" w:line="408" w:lineRule="exact"/>
        <w:ind w:left="0" w:right="0" w:firstLine="576"/>
        <w:jc w:val="left"/>
      </w:pPr>
      <w:r>
        <w:rPr/>
        <w:t xml:space="preserve">(b) Maintain tolls at no more than twenty-five cents higher than the toll rates effective at the fiscal year 2018 level beginning in fiscal year 2022 until such time as the debt service and deferred sales tax obligation is fully met according to the repayment schedule in place as of the effective date of this section and until any state contribution loans are fully repaid.</w:t>
      </w:r>
    </w:p>
    <w:p>
      <w:pPr>
        <w:spacing w:before="0" w:after="0" w:line="408" w:lineRule="exact"/>
        <w:ind w:left="0" w:right="0" w:firstLine="576"/>
        <w:jc w:val="left"/>
      </w:pPr>
      <w:r>
        <w:rPr/>
        <w:t xml:space="preserve">(5) To offset part of the toll rate increases that would otherwise be necessary to meet increases in future debt service payments, it is the intent of the legislature that the state treasurer make state contribution loan transfers to the Tacoma Narrows toll bridge account created in RCW 47.56.165 on the first day of each fiscal biennium, beginning in the 2019-2021 fiscal biennium, through the life of the debt service plan. It is the intent of the legislature that the state treasurer make state contribution loan transfers in amounts necessary to ensure debt service payments are made in full after toll revenue from the Tacoma Narrows bridge toll facility is applied to the debt payment amounts and other required costs.</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Through 2031, the commission shall submit to the transportation committees of the legislature on an annual basis a report that includes sufficient information to enable the legislature to determine an adequate amount of contribution from nontoll sources required for each fiscal biennium to maintain tolls at no more than twenty-five cents higher than the toll rates effective at the fiscal year 2018 level, while also maintaining the debt service plan repayment schedule in place as of the effective date of this section. The report must be submitted by January 5th of each year.</w:t>
      </w:r>
    </w:p>
    <w:p>
      <w:pPr>
        <w:spacing w:before="0" w:after="0" w:line="408" w:lineRule="exact"/>
        <w:ind w:left="0" w:right="0" w:firstLine="576"/>
        <w:jc w:val="left"/>
      </w:pPr>
      <w:r>
        <w:rPr/>
        <w:t xml:space="preserve">(2) Beginning in 2031, and until such time as the state contribution loans described in section 1(4) of this act are repaid, the commission shall submit to the transportation committees of the legislature on an annual basis a report that includes information detailing the annual expected toll revenue to be used for repayment of the state contribution loans while maintaining tolls at no more than twenty-five cents higher than the toll rates effective at the fiscal year 2018 level. The report must be submitted by January 5th of each year.</w:t>
      </w:r>
    </w:p>
    <w:p>
      <w:pPr>
        <w:spacing w:before="0" w:after="0" w:line="408" w:lineRule="exact"/>
        <w:ind w:left="0" w:right="0" w:firstLine="576"/>
        <w:jc w:val="left"/>
      </w:pPr>
      <w:r>
        <w:rPr/>
        <w:t xml:space="preserve">(3)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2002 c 114 s 8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p>
    <w:p>
      <w:pPr>
        <w:spacing w:before="0" w:after="0" w:line="408" w:lineRule="exact"/>
        <w:ind w:left="0" w:right="0" w:firstLine="576"/>
        <w:jc w:val="left"/>
      </w:pPr>
      <w:r>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t xml:space="preserve">(b) Obligations incurred in constructing that facility have been fully paid; </w:t>
      </w:r>
      <w:r>
        <w:t>((</w:t>
      </w:r>
      <w:r>
        <w:rPr>
          <w:strike/>
        </w:rPr>
        <w:t xml:space="preserve">and</w:t>
      </w:r>
      <w:r>
        <w:t>))</w:t>
      </w:r>
    </w:p>
    <w:p>
      <w:pPr>
        <w:spacing w:before="0" w:after="0" w:line="408" w:lineRule="exact"/>
        <w:ind w:left="0" w:right="0" w:firstLine="576"/>
        <w:jc w:val="left"/>
      </w:pPr>
      <w:r>
        <w:rPr/>
        <w:t xml:space="preserve">(c) The motor vehicle fund is fully repaid under RCW 47.46.140</w:t>
      </w:r>
      <w:r>
        <w:rPr>
          <w:u w:val="single"/>
        </w:rPr>
        <w:t xml:space="preserve">; and</w:t>
      </w:r>
    </w:p>
    <w:p>
      <w:pPr>
        <w:spacing w:before="0" w:after="0" w:line="408" w:lineRule="exact"/>
        <w:ind w:left="0" w:right="0" w:firstLine="576"/>
        <w:jc w:val="left"/>
      </w:pPr>
      <w:r>
        <w:rPr>
          <w:u w:val="single"/>
        </w:rPr>
        <w:t xml:space="preserve">(d) The accounts from which moneys are provided to reduce the debt service according to section 1(5) of this act are fully repaid</w:t>
      </w:r>
      <w:r>
        <w:rPr/>
        <w:t xml:space="preserv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
      <w:pPr>
        <w:jc w:val="center"/>
      </w:pPr>
      <w:r>
        <w:rPr>
          <w:b/>
        </w:rPr>
        <w:t>--- END ---</w:t>
      </w:r>
    </w:p>
    <w:sectPr>
      <w:pgNumType w:start="1"/>
      <w:footerReference xmlns:r="http://schemas.openxmlformats.org/officeDocument/2006/relationships" r:id="Rc13d1054cfce4a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4f1b513454b53" /><Relationship Type="http://schemas.openxmlformats.org/officeDocument/2006/relationships/footer" Target="/word/footer.xml" Id="Rc13d1054cfce4a62" /></Relationships>
</file>