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d967dcd3b49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2658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30</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2658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2658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Environment (originally sponsored by Representatives McBride, Kagi, Peterson, Fitzgibbon, Doglio, Gregerson, Appleton, Jinkins, Ortiz-Self, Macri, Ryu, Pollet, Kloba, Goodman, Frame, and Stanford)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partnership,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direct food contact and is comprised, in substantial part, of paper, paperboard, or other materials originally derived from plant fibers.</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2022,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safer alternatives are available, and the safer alternative determination is supported by feedback from an external peer review of the department's alternatives assessment;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as part of the PFAS chemical action plan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safer alternatives to PFAS chemicals in specific applications of food packaging are available for each assessed application and submit a report with the findings and the feedback from the peer review of the department's alternatives assessment to the appropriate committees of the legislature. In order to determine that safer alternatives are available, the safer alternatives must be readily available in sufficient quantity and at a comparable cost, and perform as well as or better than PFAS chemicals in a specific food packaging application. If an alternative is a chemical, it must have previously been approved for food contact by the United States food and drug administration, such as through the issuance of a determination that the chemical has a reasonable certainty of causing no harm.</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2022, if the report required under subsection (3) of this section finds that safer alternatives are available for specific food packaging applications;</w:t>
      </w:r>
    </w:p>
    <w:p>
      <w:pPr>
        <w:spacing w:before="0" w:after="0" w:line="408" w:lineRule="exact"/>
        <w:ind w:left="0" w:right="0" w:firstLine="576"/>
        <w:jc w:val="left"/>
      </w:pPr>
      <w:r>
        <w:rPr/>
        <w:t xml:space="preserve">(b) Does not take effect January 1, 2022, if the report required under subsection (3) of this section does not find that safer alternatives are available for specific food packaging applications.</w:t>
      </w:r>
    </w:p>
    <w:p>
      <w:pPr>
        <w:spacing w:before="0" w:after="0" w:line="408" w:lineRule="exact"/>
        <w:ind w:left="0" w:right="0" w:firstLine="576"/>
        <w:jc w:val="left"/>
      </w:pPr>
      <w:r>
        <w:rPr/>
        <w:t xml:space="preserve">(5) If the department of ecology does not find that a safer alternative is available for some or all categories of food packaging applications, beginning January 1, 2021, and each year following, the department of ecology must review and report on alternatives as described in subsection (2) of this section. The prohibition in this section for specific food packaging applications takes effect two years after a report submitted to the legislature required under subsection (3) of this section finds that safer alternatives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by the date of a prohibition taking effect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NumType w:start="1"/>
      <w:footerReference xmlns:r="http://schemas.openxmlformats.org/officeDocument/2006/relationships" r:id="R12ceaab28d5343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fe9ca2341c4bf9" /><Relationship Type="http://schemas.openxmlformats.org/officeDocument/2006/relationships/footer" Target="/word/footer.xml" Id="R12ceaab28d534311" /></Relationships>
</file>