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8c65268ba640c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2479</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14, 2018</w:t>
            </w:r>
          </w:p>
          <w:p>
            <w:pPr>
              <w:ind w:left="0" w:right="0" w:firstLine="360"/>
            </w:pPr>
            <w:r>
              <w:t xml:space="preserve">Yeas </w:t>
              <w:t xml:space="preserve">78</w:t>
            </w:r>
            <w:r>
              <w:t xml:space="preserve">  Nays </w:t>
              <w:t xml:space="preserve">20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2479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2479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Appleton, Ryu, McBride, and Tharinger</w:t>
      </w:r>
    </w:p>
    <w:p/>
    <w:p>
      <w:r>
        <w:rPr>
          <w:t xml:space="preserve">Read first time 01/10/18.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Washington's property assessment appeal procedures; and amending RCW 84.48.150.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150</w:t>
      </w:r>
      <w:r>
        <w:rPr/>
        <w:t xml:space="preserve"> and 1994 c 301 s 46 are each amended to read as follows:</w:t>
      </w:r>
    </w:p>
    <w:p>
      <w:pPr>
        <w:spacing w:before="0" w:after="0" w:line="408" w:lineRule="exact"/>
        <w:ind w:left="0" w:right="0" w:firstLine="576"/>
        <w:jc w:val="left"/>
      </w:pPr>
      <w:r>
        <w:rPr>
          <w:u w:val="single"/>
        </w:rPr>
        <w:t xml:space="preserve">(1)</w:t>
      </w:r>
      <w:r>
        <w:rPr/>
        <w:t xml:space="preserve"> The assessor </w:t>
      </w:r>
      <w:r>
        <w:t>((</w:t>
      </w:r>
      <w:r>
        <w:rPr>
          <w:strike/>
        </w:rPr>
        <w:t xml:space="preserve">shall</w:t>
      </w:r>
      <w:r>
        <w:t>))</w:t>
      </w:r>
      <w:r>
        <w:rPr/>
        <w:t xml:space="preserve"> </w:t>
      </w:r>
      <w:r>
        <w:rPr>
          <w:u w:val="single"/>
        </w:rPr>
        <w:t xml:space="preserve">must</w:t>
      </w:r>
      <w:r>
        <w:rPr/>
        <w:t xml:space="preserve">, upon the request of any taxpayer who petitions the board of equalization for review of a tax claim or valuation dispute, make available to said taxpayer a compilation of comparable sales utilized by the assessor in establishing such taxpayer's property valuation. If valuation criteria other than comparable sales were used, the assessor </w:t>
      </w:r>
      <w:r>
        <w:t>((</w:t>
      </w:r>
      <w:r>
        <w:rPr>
          <w:strike/>
        </w:rPr>
        <w:t xml:space="preserve">shall</w:t>
      </w:r>
      <w:r>
        <w:t>))</w:t>
      </w:r>
      <w:r>
        <w:rPr/>
        <w:t xml:space="preserve"> </w:t>
      </w:r>
      <w:r>
        <w:rPr>
          <w:u w:val="single"/>
        </w:rPr>
        <w:t xml:space="preserve">must</w:t>
      </w:r>
      <w:r>
        <w:rPr/>
        <w:t xml:space="preserve"> furnish the taxpayer with such other factors and the addresses of such other property used in making the determination of value.</w:t>
      </w:r>
    </w:p>
    <w:p>
      <w:pPr>
        <w:spacing w:before="0" w:after="0" w:line="408" w:lineRule="exact"/>
        <w:ind w:left="0" w:right="0" w:firstLine="576"/>
        <w:jc w:val="left"/>
      </w:pPr>
      <w:r>
        <w:rPr>
          <w:u w:val="single"/>
        </w:rPr>
        <w:t xml:space="preserve">(2)</w:t>
      </w:r>
      <w:r>
        <w:rPr/>
        <w:t xml:space="preserve"> The assessor </w:t>
      </w:r>
      <w:r>
        <w:t>((</w:t>
      </w:r>
      <w:r>
        <w:rPr>
          <w:strike/>
        </w:rPr>
        <w:t xml:space="preserve">shall</w:t>
      </w:r>
      <w:r>
        <w:t>))</w:t>
      </w:r>
      <w:r>
        <w:rPr/>
        <w:t xml:space="preserve"> </w:t>
      </w:r>
      <w:r>
        <w:rPr>
          <w:u w:val="single"/>
        </w:rPr>
        <w:t xml:space="preserve">must</w:t>
      </w:r>
      <w:r>
        <w:rPr/>
        <w:t xml:space="preserve"> within sixty days of such request but at least </w:t>
      </w:r>
      <w:r>
        <w:t>((</w:t>
      </w:r>
      <w:r>
        <w:rPr>
          <w:strike/>
        </w:rPr>
        <w:t xml:space="preserve">fourteen</w:t>
      </w:r>
      <w:r>
        <w:t>))</w:t>
      </w:r>
      <w:r>
        <w:rPr/>
        <w:t xml:space="preserve"> </w:t>
      </w:r>
      <w:r>
        <w:rPr>
          <w:u w:val="single"/>
        </w:rPr>
        <w:t xml:space="preserve">twenty-one</w:t>
      </w:r>
      <w:r>
        <w:rPr/>
        <w:t xml:space="preserve"> business days, excluding legal holidays, prior to such taxpayer's appearance before the board of equalization make available to the taxpayer the valuation criteria and/or comparable sales </w:t>
      </w:r>
      <w:r>
        <w:t>((</w:t>
      </w:r>
      <w:r>
        <w:rPr>
          <w:strike/>
        </w:rPr>
        <w:t xml:space="preserve">which shall</w:t>
      </w:r>
      <w:r>
        <w:t>))</w:t>
      </w:r>
      <w:r>
        <w:rPr/>
        <w:t xml:space="preserve"> </w:t>
      </w:r>
      <w:r>
        <w:rPr>
          <w:u w:val="single"/>
        </w:rPr>
        <w:t xml:space="preserve">that may</w:t>
      </w:r>
      <w:r>
        <w:rPr/>
        <w:t xml:space="preserve"> not be subsequently changed by the assessor unless the assessor has found new evidence supporting the assessor's valuation, in which situation the assessor </w:t>
      </w:r>
      <w:r>
        <w:t>((</w:t>
      </w:r>
      <w:r>
        <w:rPr>
          <w:strike/>
        </w:rPr>
        <w:t xml:space="preserve">shall</w:t>
      </w:r>
      <w:r>
        <w:t>))</w:t>
      </w:r>
      <w:r>
        <w:rPr/>
        <w:t xml:space="preserve"> </w:t>
      </w:r>
      <w:r>
        <w:rPr>
          <w:u w:val="single"/>
        </w:rPr>
        <w:t xml:space="preserve">must</w:t>
      </w:r>
      <w:r>
        <w:rPr/>
        <w:t xml:space="preserve"> provide such additional evidence to the taxpayer and the board of equalization at least </w:t>
      </w:r>
      <w:r>
        <w:t>((</w:t>
      </w:r>
      <w:r>
        <w:rPr>
          <w:strike/>
        </w:rPr>
        <w:t xml:space="preserve">fourteen</w:t>
      </w:r>
      <w:r>
        <w:t>))</w:t>
      </w:r>
      <w:r>
        <w:rPr/>
        <w:t xml:space="preserve"> </w:t>
      </w:r>
      <w:r>
        <w:rPr>
          <w:u w:val="single"/>
        </w:rPr>
        <w:t xml:space="preserve">twenty-one</w:t>
      </w:r>
      <w:r>
        <w:rPr/>
        <w:t xml:space="preserve"> business days prior to the hearing at the board of equalization. A taxpayer who lists comparable sales on a notice of appeal </w:t>
      </w:r>
      <w:r>
        <w:t>((</w:t>
      </w:r>
      <w:r>
        <w:rPr>
          <w:strike/>
        </w:rPr>
        <w:t xml:space="preserve">shall</w:t>
      </w:r>
      <w:r>
        <w:t>))</w:t>
      </w:r>
      <w:r>
        <w:rPr/>
        <w:t xml:space="preserve"> </w:t>
      </w:r>
      <w:r>
        <w:rPr>
          <w:u w:val="single"/>
        </w:rPr>
        <w:t xml:space="preserve">may</w:t>
      </w:r>
      <w:r>
        <w:rPr/>
        <w:t xml:space="preserve"> not subsequently change such sales unless the taxpayer has found new evidence supporting the taxpayer's proposed valuation in which case the taxpayer </w:t>
      </w:r>
      <w:r>
        <w:t>((</w:t>
      </w:r>
      <w:r>
        <w:rPr>
          <w:strike/>
        </w:rPr>
        <w:t xml:space="preserve">shall</w:t>
      </w:r>
      <w:r>
        <w:t>))</w:t>
      </w:r>
      <w:r>
        <w:rPr/>
        <w:t xml:space="preserve"> </w:t>
      </w:r>
      <w:r>
        <w:rPr>
          <w:u w:val="single"/>
        </w:rPr>
        <w:t xml:space="preserve">must</w:t>
      </w:r>
      <w:r>
        <w:rPr/>
        <w:t xml:space="preserve"> provide such additional evidence to the assessor and board of equalization at least </w:t>
      </w:r>
      <w:r>
        <w:t>((</w:t>
      </w:r>
      <w:r>
        <w:rPr>
          <w:strike/>
        </w:rPr>
        <w:t xml:space="preserve">seven</w:t>
      </w:r>
      <w:r>
        <w:t>))</w:t>
      </w:r>
      <w:r>
        <w:rPr/>
        <w:t xml:space="preserve"> </w:t>
      </w:r>
      <w:r>
        <w:rPr>
          <w:u w:val="single"/>
        </w:rPr>
        <w:t xml:space="preserve">twenty-one</w:t>
      </w:r>
      <w:r>
        <w:rPr/>
        <w:t xml:space="preserve"> business days, excluding legal holidays, prior to the hearing. If either the assessor or taxpayer does not meet the requirements of this section the board of equalization may continue the hearing to provide the parties an opportunity to review all evidence or, upon objection, refuse to consider sales not submitted in a timely manner.</w:t>
      </w:r>
    </w:p>
    <w:p/>
    <w:p>
      <w:pPr>
        <w:jc w:val="center"/>
      </w:pPr>
      <w:r>
        <w:rPr>
          <w:b/>
        </w:rPr>
        <w:t>--- END ---</w:t>
      </w:r>
    </w:p>
    <w:sectPr>
      <w:pgNumType w:start="1"/>
      <w:footerReference xmlns:r="http://schemas.openxmlformats.org/officeDocument/2006/relationships" r:id="R039de8f7508147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e7fc74e4634eab" /><Relationship Type="http://schemas.openxmlformats.org/officeDocument/2006/relationships/footer" Target="/word/footer.xml" Id="R039de8f7508147bd" /></Relationships>
</file>