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b9deb5abc42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2406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Hudgins, Stanford, and Ormsby)</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integrity of elections through strengthening election security practices around auditing and equipment; amending RCW 29A.60.185, 29A.60.170, 29A.60.110, 29A.12.005, 29A.60.125, and 29A.60.235; adding new sections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an audit of duplicated ballots in accordance with subsection (2) of this section, and an audit using at minimum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 As used in this subsection, "in-person ballot marking system" or "system" means an in-person ballot marking system that retains or produces an electronic voting record of each vote cast using the system;</w:t>
      </w:r>
    </w:p>
    <w:p>
      <w:pPr>
        <w:spacing w:before="0" w:after="0" w:line="408" w:lineRule="exact"/>
        <w:ind w:left="0" w:right="0" w:firstLine="576"/>
        <w:jc w:val="left"/>
      </w:pPr>
      <w:r>
        <w:rPr>
          <w:u w:val="single"/>
        </w:rPr>
        <w:t xml:space="preserve">(b) A random check of the ballot counting equipment consistent with RCW 29A.60.170(3);</w:t>
      </w:r>
    </w:p>
    <w:p>
      <w:pPr>
        <w:spacing w:before="0" w:after="0" w:line="408" w:lineRule="exact"/>
        <w:ind w:left="0" w:right="0" w:firstLine="576"/>
        <w:jc w:val="left"/>
      </w:pPr>
      <w:r>
        <w:rPr>
          <w:u w:val="singl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(2) Prior to certification of the election, the county auditor must conduct an audit of ballots duplicated under RCW 29A.60.125. The audit of duplicated ballots must involve a comparison of the duplicated ballot to the original ballot. The county canvassing board must establish procedures for the auditing of duplicated ballots.</w:t>
      </w:r>
    </w:p>
    <w:p>
      <w:pPr>
        <w:spacing w:before="0" w:after="0" w:line="408" w:lineRule="exact"/>
        <w:ind w:left="0" w:right="0" w:firstLine="576"/>
        <w:jc w:val="left"/>
      </w:pPr>
      <w:r>
        <w:rPr>
          <w:u w:val="single"/>
        </w:rPr>
        <w:t xml:space="preserve">(3)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The secretary of state shall adopt procedures to investigate the cause of any discrepancy found during an audit.</w:t>
      </w:r>
    </w:p>
    <w:p>
      <w:pPr>
        <w:spacing w:before="0" w:after="0" w:line="408" w:lineRule="exact"/>
        <w:ind w:left="0" w:right="0" w:firstLine="576"/>
        <w:jc w:val="left"/>
      </w:pPr>
      <w:r>
        <w:rPr>
          <w:u w:val="single"/>
        </w:rPr>
        <w:t xml:space="preserve">(4) The secretary of state must establish rules by January 1, 2019, to implement and administer the auditing methods in this section, including facilitating public observation and reporting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w:t>
      </w:r>
      <w:r>
        <w:t>((</w:t>
      </w:r>
      <w:r>
        <w:rPr>
          <w:strike/>
        </w:rPr>
        <w:t xml:space="preserve">may</w:t>
      </w:r>
      <w:r>
        <w:t>))</w:t>
      </w:r>
      <w:r>
        <w:rPr/>
        <w:t xml:space="preserve"> </w:t>
      </w:r>
      <w:r>
        <w:rPr>
          <w:u w:val="single"/>
        </w:rPr>
        <w:t xml:space="preserve">must</w:t>
      </w:r>
      <w:r>
        <w:rPr/>
        <w:t xml:space="preserve"> be conducted upon mutual agreement of the political party observers or at the discretion of the county auditor. The random check procedures must be adopted by the county canvassing board</w:t>
      </w:r>
      <w:r>
        <w:rPr>
          <w:u w:val="single"/>
        </w:rPr>
        <w:t xml:space="preserve">, and consistent with rules adopted under RCW 29A.60.185(4),</w:t>
      </w:r>
      <w:r>
        <w:rPr/>
        <w:t xml:space="preserve"> prior to the processing of ballots. The random check process shall involve a comparison of a manual count </w:t>
      </w:r>
      <w:r>
        <w:rPr>
          <w:u w:val="single"/>
        </w:rPr>
        <w:t xml:space="preserve">or electronic count if an audit under RCW 29A.60.185(1)(d) is conducted</w:t>
      </w:r>
      <w:r>
        <w:rPr/>
        <w:t xml:space="preserve"> to the machine count </w:t>
      </w:r>
      <w:r>
        <w:rPr>
          <w:u w:val="single"/>
        </w:rPr>
        <w:t xml:space="preserve">from the original ballot counting equipment</w:t>
      </w:r>
      <w:r>
        <w:rPr/>
        <w:t xml:space="preserve">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w:t>
      </w:r>
      <w:r>
        <w:t>))</w:t>
      </w:r>
      <w:r>
        <w:rPr>
          <w:u w:val="single"/>
        </w:rPr>
        <w:t xml:space="preserve">.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w:t>
      </w:r>
      <w:r>
        <w:rPr/>
        <w:t xml:space="preserve">he check must be completed no later than forty-eight hours after election day.</w:t>
      </w:r>
    </w:p>
    <w:p>
      <w:pPr>
        <w:spacing w:before="0" w:after="0" w:line="408" w:lineRule="exact"/>
        <w:ind w:left="0" w:right="0" w:firstLine="576"/>
        <w:jc w:val="left"/>
      </w:pPr>
      <w:r>
        <w:rPr>
          <w:u w:val="single"/>
        </w:rPr>
        <w:t xml:space="preserve">(4)(a) By November 1, 2018, the secretary of state shall:</w:t>
      </w:r>
    </w:p>
    <w:p>
      <w:pPr>
        <w:spacing w:before="0" w:after="0" w:line="408" w:lineRule="exact"/>
        <w:ind w:left="0" w:right="0" w:firstLine="576"/>
        <w:jc w:val="left"/>
      </w:pPr>
      <w:r>
        <w:rPr>
          <w:u w:val="singl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u w:val="single"/>
        </w:rPr>
        <w:t xml:space="preserve">(ii) Evaluate the procedures to identify the best practices and any discrepancies.</w:t>
      </w:r>
    </w:p>
    <w:p>
      <w:pPr>
        <w:spacing w:before="0" w:after="0" w:line="408" w:lineRule="exact"/>
        <w:ind w:left="0" w:right="0" w:firstLine="576"/>
        <w:jc w:val="left"/>
      </w:pPr>
      <w:r>
        <w:rPr>
          <w:u w:val="singl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that:</w:t>
      </w:r>
    </w:p>
    <w:p>
      <w:pPr>
        <w:spacing w:before="0" w:after="0" w:line="408" w:lineRule="exact"/>
        <w:ind w:left="0" w:right="0" w:firstLine="576"/>
        <w:jc w:val="left"/>
      </w:pPr>
      <w:r>
        <w:rPr/>
        <w:t xml:space="preserve">(a) The system or component fails to meet the standards set forth in applicable federal guidelines;</w:t>
      </w:r>
    </w:p>
    <w:p>
      <w:pPr>
        <w:spacing w:before="0" w:after="0" w:line="408" w:lineRule="exact"/>
        <w:ind w:left="0" w:right="0" w:firstLine="576"/>
        <w:jc w:val="left"/>
      </w:pPr>
      <w:r>
        <w:rPr/>
        <w:t xml:space="preserve">(b) The system or component was materially misrepresented in the certification application;</w:t>
      </w:r>
    </w:p>
    <w:p>
      <w:pPr>
        <w:spacing w:before="0" w:after="0" w:line="408" w:lineRule="exact"/>
        <w:ind w:left="0" w:right="0" w:firstLine="576"/>
        <w:jc w:val="left"/>
      </w:pPr>
      <w:r>
        <w:rPr/>
        <w:t xml:space="preserve">(c) The applicant has installed unauthorized modifications to the certified software or hardware; or</w:t>
      </w:r>
    </w:p>
    <w:p>
      <w:pPr>
        <w:spacing w:before="0" w:after="0" w:line="408" w:lineRule="exact"/>
        <w:ind w:left="0" w:right="0" w:firstLine="576"/>
        <w:jc w:val="left"/>
      </w:pPr>
      <w:r>
        <w:rPr/>
        <w:t xml:space="preserve">(d) Any other reason authorized by rule adopted by the secretary of state.</w:t>
      </w:r>
    </w:p>
    <w:p>
      <w:pPr>
        <w:spacing w:before="0" w:after="0" w:line="408" w:lineRule="exact"/>
        <w:ind w:left="0" w:right="0" w:firstLine="576"/>
        <w:jc w:val="left"/>
      </w:pPr>
      <w:r>
        <w:rPr/>
        <w:t xml:space="preserve">(2) The secretary of state may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2005 c 243 s 10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t xml:space="preserve">Original and duplicate ballots must be sealed in secure storage at all times, except during duplication, inspection by the canvassing board, </w:t>
      </w:r>
      <w:r>
        <w:t>((</w:t>
      </w:r>
      <w:r>
        <w:rPr>
          <w:strike/>
        </w:rPr>
        <w:t xml:space="preserve">or</w:t>
      </w:r>
      <w:r>
        <w:t>))</w:t>
      </w:r>
      <w:r>
        <w:rPr/>
        <w:t xml:space="preserve"> tabulation</w:t>
      </w:r>
      <w:r>
        <w:rPr>
          <w:u w:val="single"/>
        </w:rPr>
        <w:t xml:space="preserve">, or to conduct an audit under RCW 29A.60.185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2017 c 300 s 1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by mail, email, or facsimile;</w:t>
      </w:r>
    </w:p>
    <w:p>
      <w:pPr>
        <w:spacing w:before="0" w:after="0" w:line="408" w:lineRule="exact"/>
        <w:ind w:left="0" w:right="0" w:firstLine="576"/>
        <w:jc w:val="left"/>
      </w:pPr>
      <w:r>
        <w:rPr/>
        <w:t xml:space="preserve">(o) The number of overseas and service ballots counted by mail, email, or facsimile;</w:t>
      </w:r>
    </w:p>
    <w:p>
      <w:pPr>
        <w:spacing w:before="0" w:after="0" w:line="408" w:lineRule="exact"/>
        <w:ind w:left="0" w:right="0" w:firstLine="576"/>
        <w:jc w:val="left"/>
      </w:pPr>
      <w:r>
        <w:rPr/>
        <w:t xml:space="preserve">(p) The number of overseas and service ballots rejected by mail, email, or facsimile;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The number of nonoverseas and nonservice ballots received by email or facsimile;</w:t>
      </w:r>
    </w:p>
    <w:p>
      <w:pPr>
        <w:spacing w:before="0" w:after="0" w:line="408" w:lineRule="exact"/>
        <w:ind w:left="0" w:right="0" w:firstLine="576"/>
        <w:jc w:val="left"/>
      </w:pPr>
      <w:r>
        <w:rPr/>
        <w:t xml:space="preserve">(s) The number of nonoverseas and nonservice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rPr/>
        <w:t xml:space="preserve">(t) The number of voters credited with voting; </w:t>
      </w:r>
      <w:r>
        <w:t>((</w:t>
      </w:r>
      <w:r>
        <w:rPr>
          <w:strike/>
        </w:rPr>
        <w:t xml:space="preserve">and</w:t>
      </w:r>
      <w:r>
        <w:t>))</w:t>
      </w:r>
    </w:p>
    <w:p>
      <w:pPr>
        <w:spacing w:before="0" w:after="0" w:line="408" w:lineRule="exact"/>
        <w:ind w:left="0" w:right="0" w:firstLine="576"/>
        <w:jc w:val="left"/>
      </w:pPr>
      <w:r>
        <w:rPr/>
        <w:t xml:space="preserve">(u) </w:t>
      </w:r>
      <w:r>
        <w:rPr>
          <w:u w:val="single"/>
        </w:rPr>
        <w:t xml:space="preserve">The number of replacement ballots requested;</w:t>
      </w:r>
    </w:p>
    <w:p>
      <w:pPr>
        <w:spacing w:before="0" w:after="0" w:line="408" w:lineRule="exact"/>
        <w:ind w:left="0" w:right="0" w:firstLine="576"/>
        <w:jc w:val="left"/>
      </w:pPr>
      <w:r>
        <w:rPr>
          <w:u w:val="single"/>
        </w:rPr>
        <w:t xml:space="preserve">(v) The number of replacement ballots issued;</w:t>
      </w:r>
    </w:p>
    <w:p>
      <w:pPr>
        <w:spacing w:before="0" w:after="0" w:line="408" w:lineRule="exact"/>
        <w:ind w:left="0" w:right="0" w:firstLine="576"/>
        <w:jc w:val="left"/>
      </w:pPr>
      <w:r>
        <w:rPr>
          <w:u w:val="single"/>
        </w:rPr>
        <w:t xml:space="preserve">(w) The number of replacement ballots received;</w:t>
      </w:r>
    </w:p>
    <w:p>
      <w:pPr>
        <w:spacing w:before="0" w:after="0" w:line="408" w:lineRule="exact"/>
        <w:ind w:left="0" w:right="0" w:firstLine="576"/>
        <w:jc w:val="left"/>
      </w:pPr>
      <w:r>
        <w:rPr>
          <w:u w:val="single"/>
        </w:rPr>
        <w:t xml:space="preserve">(x) The number of replacement ballots counted;</w:t>
      </w:r>
    </w:p>
    <w:p>
      <w:pPr>
        <w:spacing w:before="0" w:after="0" w:line="408" w:lineRule="exact"/>
        <w:ind w:left="0" w:right="0" w:firstLine="576"/>
        <w:jc w:val="left"/>
      </w:pPr>
      <w:r>
        <w:rPr>
          <w:u w:val="single"/>
        </w:rPr>
        <w:t xml:space="preserve">(y) The number of replacement ballots rejected; and</w:t>
      </w:r>
    </w:p>
    <w:p>
      <w:pPr>
        <w:spacing w:before="0" w:after="0" w:line="408" w:lineRule="exact"/>
        <w:ind w:left="0" w:right="0" w:firstLine="576"/>
        <w:jc w:val="left"/>
      </w:pPr>
      <w:r>
        <w:rPr>
          <w:u w:val="single"/>
        </w:rPr>
        <w:t xml:space="preserve">(z)</w:t>
      </w:r>
      <w:r>
        <w:rPr/>
        <w:t xml:space="preserve"> Any other information the auditor or secretary of state deems necessary to reconcile the number of ballots counted with the number of voters credited with voting</w:t>
      </w:r>
      <w:r>
        <w:rPr>
          <w:u w:val="single"/>
        </w:rPr>
        <w:t xml:space="preserve">, and to maintain an audit trail</w:t>
      </w:r>
      <w:r>
        <w:rPr/>
        <w:t xml:space="preserve">.</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NumType w:start="1"/>
      <w:footerReference xmlns:r="http://schemas.openxmlformats.org/officeDocument/2006/relationships" r:id="Rb8f9ce0e5a20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064b27abd4c4a" /><Relationship Type="http://schemas.openxmlformats.org/officeDocument/2006/relationships/footer" Target="/word/footer.xml" Id="Rb8f9ce0e5a204776" /></Relationships>
</file>