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33c1b7ed44e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2224</w:t>
      </w:r>
    </w:p>
    <w:p>
      <w:pPr>
        <w:jc w:val="center"/>
        <w:spacing w:before="720" w:after="0" w:line="240"/>
      </w:pPr>
      <w:r>
        <w:t>65th Legislature</w:t>
      </w:r>
    </w:p>
    <w:p>
      <w:pPr>
        <w:jc w:val="center"/>
        <w:spacing w:before="0" w:after="1440" w:line="240"/>
      </w:pPr>
      <w:r>
        <w:t>2017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27,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July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2224</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2nd Special Session</w:t>
      </w:r>
    </w:p>
    <w:p/>
    <w:p>
      <w:r>
        <w:rPr>
          <w:b/>
        </w:rPr>
        <w:t xml:space="preserve">By </w:t>
      </w:r>
      <w:r>
        <w:t>House Education (originally sponsored by Representatives MacEwen, Dolan, Appleton, Haler, Harris, Sells, Tarleton, J. Walsh, Santos, and Doglio; by request of Superintendent of Public Instruction)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high school graduation requirements and supporting student success during the transition to a federal every student succeeds act-compliant accountability system; amending RCW 28A.655.061, 28A.655.065, 28A.305.130, 28A.230.090, 28A.655.061, and 28A.655.068;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 s 5 (section 5 of this act)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w:t>
      </w:r>
      <w:r>
        <w:t>((</w:t>
      </w:r>
      <w:r>
        <w:rPr>
          <w:strike/>
        </w:rPr>
        <w:t xml:space="preserve">reading, writing,</w:t>
      </w:r>
      <w:r>
        <w:t>))</w:t>
      </w:r>
      <w:r>
        <w:rPr/>
        <w:t xml:space="preserve"> </w:t>
      </w:r>
      <w:r>
        <w:rPr>
          <w:u w:val="single"/>
        </w:rPr>
        <w:t xml:space="preserve">English language arts</w:t>
      </w:r>
      <w:r>
        <w:rPr/>
        <w:t xml:space="preserve">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w:t>
      </w:r>
      <w:r>
        <w:t>((</w:t>
      </w:r>
      <w:r>
        <w:rPr>
          <w:strike/>
        </w:rPr>
        <w:t xml:space="preserve">state</w:t>
      </w:r>
      <w:r>
        <w:t>))</w:t>
      </w:r>
      <w:r>
        <w:rPr/>
        <w:t xml:space="preserve"> </w:t>
      </w:r>
      <w:r>
        <w:rPr>
          <w:u w:val="single"/>
        </w:rPr>
        <w:t xml:space="preserve">high school graduation</w:t>
      </w:r>
      <w:r>
        <w:rPr/>
        <w:t xml:space="preserv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w:t>
      </w:r>
      <w:r>
        <w:t>((</w:t>
      </w:r>
      <w:r>
        <w:rPr>
          <w:strike/>
        </w:rPr>
        <w:t xml:space="preserve">state</w:t>
      </w:r>
      <w:r>
        <w:t>))</w:t>
      </w:r>
      <w:r>
        <w:rPr/>
        <w:t xml:space="preserve"> </w:t>
      </w:r>
      <w:r>
        <w:rPr>
          <w:u w:val="single"/>
        </w:rPr>
        <w:t xml:space="preserve">high school graduation</w:t>
      </w:r>
      <w:r>
        <w:rPr/>
        <w:t xml:space="preserve"> standard</w:t>
      </w:r>
      <w:r>
        <w:t>((</w:t>
      </w:r>
      <w:r>
        <w:rPr>
          <w:strike/>
        </w:rPr>
        <w:t xml:space="preserve">s</w:t>
      </w:r>
      <w:r>
        <w:t>))</w:t>
      </w:r>
      <w:r>
        <w:rPr/>
        <w:t xml:space="preserve">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rPr>
          <w:u w:val="singl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u w:val="single"/>
        </w:rPr>
        <w:t xml:space="preserve">(e)</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u w:val="single"/>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(10)(b)(iv),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u w:val="single"/>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u w:val="single"/>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w:t>
      </w:r>
      <w:r>
        <w:rPr>
          <w:u w:val="single"/>
        </w:rPr>
        <w:t xml:space="preserve">:</w:t>
      </w:r>
    </w:p>
    <w:p>
      <w:pPr>
        <w:spacing w:before="0" w:after="0" w:line="408" w:lineRule="exact"/>
        <w:ind w:left="0" w:right="0" w:firstLine="576"/>
        <w:jc w:val="left"/>
      </w:pPr>
      <w:r>
        <w:rPr>
          <w:u w:val="single"/>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u w:val="single"/>
        </w:rPr>
        <w:t xml:space="preserve">(b) P</w:t>
      </w:r>
      <w:r>
        <w:rPr/>
        <w:t xml:space="preserve">repare </w:t>
      </w:r>
      <w:r>
        <w:rPr>
          <w:u w:val="single"/>
        </w:rPr>
        <w:t xml:space="preserve">student learning</w:t>
      </w:r>
      <w:r>
        <w:rPr/>
        <w:t xml:space="preserve"> plans </w:t>
      </w:r>
      <w:r>
        <w:t>((</w:t>
      </w:r>
      <w:r>
        <w:rPr>
          <w:strike/>
        </w:rPr>
        <w:t xml:space="preserve">for</w:t>
      </w:r>
      <w:r>
        <w:t>))</w:t>
      </w:r>
      <w:r>
        <w:rPr/>
        <w:t xml:space="preserve">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student's results on the state assessment;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student is in the transitional bilingual program, the score on his or her Washington language proficiency test II;</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credit deficiencies;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student's attendance rates over the previous two years;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student's progress toward meeting state and local graduation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courses, competencies, and other steps needed to be taken by the student to meet state academic standards and stay on track for graduation;</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alternative assessment options available to students under this section and RCW 28A.655.065;</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w:t>
      </w:r>
      <w:r>
        <w:t>((</w:t>
      </w:r>
      <w:r>
        <w:rPr>
          <w:strike/>
        </w:rPr>
        <w:t xml:space="preserve">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strike/>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strike/>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strike/>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strike/>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Washington assessment of student learning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strike/>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strike/>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strike/>
        </w:rPr>
        <w:t xml:space="preserve">(i) Provide multiple examples of work samples that are related to the particular career and technical program;</w:t>
      </w:r>
    </w:p>
    <w:p>
      <w:pPr>
        <w:spacing w:before="0" w:after="0" w:line="408" w:lineRule="exact"/>
        <w:ind w:left="0" w:right="0" w:firstLine="576"/>
        <w:jc w:val="left"/>
      </w:pPr>
      <w:r>
        <w:rPr>
          <w:strike/>
        </w:rPr>
        <w:t xml:space="preserve">(ii) Permit work samples based on completed activities or projects where demonstration of academic knowledge is inferred; and</w:t>
      </w:r>
    </w:p>
    <w:p>
      <w:pPr>
        <w:spacing w:before="0" w:after="0" w:line="408" w:lineRule="exact"/>
        <w:ind w:left="0" w:right="0" w:firstLine="576"/>
        <w:jc w:val="left"/>
      </w:pPr>
      <w:r>
        <w:rPr>
          <w:strike/>
        </w:rPr>
        <w:t xml:space="preserve">(iii) Provide multiple examples of work samples drawn from career and technical courses.</w:t>
      </w:r>
    </w:p>
    <w:p>
      <w:pPr>
        <w:spacing w:before="0" w:after="0" w:line="408" w:lineRule="exact"/>
        <w:ind w:left="0" w:right="0" w:firstLine="576"/>
        <w:jc w:val="left"/>
      </w:pPr>
      <w:r>
        <w:rPr>
          <w:strike/>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strike/>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strike/>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strike/>
        </w:rPr>
        <w:t xml:space="preserve">(8)</w:t>
      </w:r>
      <w:r>
        <w:t>))</w:t>
      </w:r>
      <w:r>
        <w:rPr/>
        <w:t xml:space="preserve">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w:t>
      </w:r>
      <w:r>
        <w:t>((</w:t>
      </w:r>
      <w:r>
        <w:rPr>
          <w:strike/>
        </w:rPr>
        <w:t xml:space="preserve">and</w:t>
      </w:r>
      <w:r>
        <w:t>))</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r>
        <w:rPr>
          <w:u w:val="single"/>
        </w:rPr>
        <w:t xml:space="preserve">;</w:t>
      </w:r>
    </w:p>
    <w:p>
      <w:pPr>
        <w:spacing w:before="0" w:after="0" w:line="408" w:lineRule="exact"/>
        <w:ind w:left="0" w:right="0" w:firstLine="576"/>
        <w:jc w:val="left"/>
      </w:pPr>
      <w:r>
        <w:rPr>
          <w:u w:val="single"/>
        </w:rPr>
        <w:t xml:space="preserve">(c)(i) For the graduating classes of 2014, 2015, 2016, 2017, and 2018,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u w:val="single"/>
        </w:rPr>
        <w:t xml:space="preserve">(A) Successful completion of a college level class in the relevant subject area;</w:t>
      </w:r>
    </w:p>
    <w:p>
      <w:pPr>
        <w:spacing w:before="0" w:after="0" w:line="408" w:lineRule="exact"/>
        <w:ind w:left="0" w:right="0" w:firstLine="576"/>
        <w:jc w:val="left"/>
      </w:pPr>
      <w:r>
        <w:rPr>
          <w:u w:val="single"/>
        </w:rPr>
        <w:t xml:space="preserve">(B) Admission to a higher education institution or career preparation program;</w:t>
      </w:r>
    </w:p>
    <w:p>
      <w:pPr>
        <w:spacing w:before="0" w:after="0" w:line="408" w:lineRule="exact"/>
        <w:ind w:left="0" w:right="0" w:firstLine="576"/>
        <w:jc w:val="left"/>
      </w:pPr>
      <w:r>
        <w:rPr>
          <w:u w:val="single"/>
        </w:rPr>
        <w:t xml:space="preserve">(C) Award of a scholarship for higher education; or</w:t>
      </w:r>
    </w:p>
    <w:p>
      <w:pPr>
        <w:spacing w:before="0" w:after="0" w:line="408" w:lineRule="exact"/>
        <w:ind w:left="0" w:right="0" w:firstLine="576"/>
        <w:jc w:val="left"/>
      </w:pPr>
      <w:r>
        <w:rPr>
          <w:u w:val="single"/>
        </w:rPr>
        <w:t xml:space="preserve">(D) Enlistment in a branch of the military.</w:t>
      </w:r>
    </w:p>
    <w:p>
      <w:pPr>
        <w:spacing w:before="0" w:after="0" w:line="408" w:lineRule="exact"/>
        <w:ind w:left="0" w:right="0" w:firstLine="576"/>
        <w:jc w:val="left"/>
      </w:pPr>
      <w:r>
        <w:rPr>
          <w:u w:val="single"/>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u w:val="single"/>
        </w:rPr>
        <w:t xml:space="preserve">(iii) A student in the class of 2018 is eligible for the expedited appeal process in (c)(i) of this subsection if he or she has met all other graduation requirements established by the state and district and has attempted at least one alternative assessment option as established in RCW 28A.655.065</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r>
        <w:t>((</w:t>
      </w:r>
      <w:r>
        <w:rPr>
          <w:strike/>
        </w:rPr>
        <w:t xml:space="preserve">.</w:t>
      </w:r>
      <w:r>
        <w:t>))</w:t>
      </w:r>
      <w:r>
        <w:rPr>
          <w:u w:val="single"/>
        </w:rPr>
        <w:t xml:space="preserv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w:t>
      </w:r>
      <w:r>
        <w:rPr>
          <w:u w:val="single"/>
        </w:rPr>
        <w:t xml:space="preserve">(A)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u w:val="single"/>
        </w:rPr>
        <w:t xml:space="preserve">(B) Nothing in this section prohibits the state board of education from identifying a college and career readiness score that is different from the score required for high school graduation purposes;</w:t>
      </w:r>
    </w:p>
    <w:p>
      <w:pPr>
        <w:spacing w:before="0" w:after="0" w:line="408" w:lineRule="exact"/>
        <w:ind w:left="0" w:right="0" w:firstLine="576"/>
        <w:jc w:val="left"/>
      </w:pPr>
      <w:r>
        <w:rPr>
          <w:u w:val="single"/>
        </w:rPr>
        <w:t xml:space="preserve">(iii)</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 taking that fulfills state and local graduation requirements and aligns with the student's career and educational goals; and</w:t>
      </w:r>
    </w:p>
    <w:p>
      <w:pPr>
        <w:spacing w:before="0" w:after="0" w:line="408" w:lineRule="exact"/>
        <w:ind w:left="0" w:right="0" w:firstLine="576"/>
        <w:jc w:val="left"/>
      </w:pPr>
      <w:r>
        <w:rPr>
          <w:u w:val="single"/>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2017</w:t>
      </w:r>
      <w:r>
        <w:t>))</w:t>
      </w:r>
      <w:r>
        <w:rPr/>
        <w:t xml:space="preserve"> </w:t>
      </w:r>
      <w:r>
        <w:rPr>
          <w:u w:val="single"/>
        </w:rPr>
        <w:t xml:space="preserve">2021</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 </w:t>
      </w:r>
      <w:r>
        <w:rPr>
          <w:u w:val="single"/>
        </w:rPr>
        <w:t xml:space="preserve">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w:t>
      </w:r>
      <w:r>
        <w:t>((</w:t>
      </w:r>
      <w:r>
        <w:rPr>
          <w:strike/>
        </w:rPr>
        <w:t xml:space="preserve">for purposes of</w:t>
      </w:r>
      <w:r>
        <w:t>))</w:t>
      </w:r>
      <w:r>
        <w:rPr/>
        <w:t xml:space="preserve"> </w:t>
      </w:r>
      <w:r>
        <w:rPr>
          <w:u w:val="single"/>
        </w:rPr>
        <w:t xml:space="preserve">until a comprehensive science assessment is required under</w:t>
      </w:r>
      <w:r>
        <w:rPr/>
        <w:t xml:space="preserve"> RCW 28A.655.061.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retroactively to students in the graduating class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1ca75adea8242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7ca067e93e42b9" /><Relationship Type="http://schemas.openxmlformats.org/officeDocument/2006/relationships/footer" Target="/word/footer.xml" Id="Rc1ca75adea8242bd" /></Relationships>
</file>