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80385ba52b4b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1531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Chapman, DeBolt, Blake, Koster, Orcutt, Tharinger, Kraft, Pettigrew, Smith, Dolan, and Fitzgibbon)</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forestry riparian easement program; and amending RCW 76.13.120.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2011 c 218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 landowners willing to sell or donate </w:t>
      </w:r>
      <w:r>
        <w:t>((</w:t>
      </w:r>
      <w:r>
        <w:rPr>
          <w:strike/>
        </w:rPr>
        <w:t xml:space="preserve">such</w:t>
      </w:r>
      <w:r>
        <w:t>))</w:t>
      </w:r>
      <w:r>
        <w:rPr/>
        <w:t xml:space="preserve"> easements to the state provided that the state will not be required to acquire </w:t>
      </w:r>
      <w:r>
        <w:t>((</w:t>
      </w:r>
      <w:r>
        <w:rPr>
          <w:strike/>
        </w:rPr>
        <w:t xml:space="preserve">such</w:t>
      </w:r>
      <w:r>
        <w:t>))</w:t>
      </w:r>
      <w:r>
        <w:rPr/>
        <w:t xml:space="preserve"> </w:t>
      </w:r>
      <w:r>
        <w:rPr>
          <w:u w:val="single"/>
        </w:rPr>
        <w:t xml:space="preserve">the</w:t>
      </w:r>
      <w:r>
        <w:rPr/>
        <w:t xml:space="preserve"> easements if they are subject to unacceptable liabilities. </w:t>
      </w:r>
      <w:r>
        <w:rPr>
          <w:u w:val="single"/>
        </w:rPr>
        <w:t xml:space="preserve">Therefore t</w:t>
      </w:r>
      <w:r>
        <w:rPr/>
        <w:t xml:space="preserve">he legislature </w:t>
      </w:r>
      <w:r>
        <w:t>((</w:t>
      </w:r>
      <w:r>
        <w:rPr>
          <w:strike/>
        </w:rPr>
        <w:t xml:space="preserve">therefore</w:t>
      </w:r>
      <w:r>
        <w:t>))</w:t>
      </w:r>
      <w:r>
        <w:rPr/>
        <w:t xml:space="preserv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 landowner.</w:t>
      </w:r>
    </w:p>
    <w:p>
      <w:pPr>
        <w:spacing w:before="0" w:after="0" w:line="408" w:lineRule="exact"/>
        <w:ind w:left="0" w:right="0" w:firstLine="576"/>
        <w:jc w:val="left"/>
      </w:pPr>
      <w:r>
        <w:rPr/>
        <w:t xml:space="preserve">(b) "Qualifying small forest landowner"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 landowner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for which the small forest landowner is willing to grant the state a forestry riparian easement and </w:t>
      </w:r>
      <w:r>
        <w:t>((</w:t>
      </w:r>
      <w:r>
        <w:rPr>
          <w:strike/>
        </w:rPr>
        <w:t xml:space="preserve">must</w:t>
      </w:r>
      <w:r>
        <w:t>))</w:t>
      </w:r>
      <w:r>
        <w:rPr/>
        <w:t xml:space="preserve"> meet</w:t>
      </w:r>
      <w:r>
        <w:rPr>
          <w:u w:val="single"/>
        </w:rPr>
        <w:t xml:space="preserve">s</w:t>
      </w:r>
      <w:r>
        <w:rPr/>
        <w:t xml:space="preserve"> all of the following:</w:t>
      </w:r>
    </w:p>
    <w:p>
      <w:pPr>
        <w:spacing w:before="0" w:after="0" w:line="408" w:lineRule="exact"/>
        <w:ind w:left="0" w:right="0" w:firstLine="576"/>
        <w:jc w:val="left"/>
      </w:pPr>
      <w:r>
        <w:rPr/>
        <w:t xml:space="preserve">(i) The forest trees are covered by a forest practices application that the small forest landowner is required to leave unharvested under the rules adopted under RCW </w:t>
      </w:r>
      <w:r>
        <w:rPr>
          <w:u w:val="single"/>
        </w:rPr>
        <w:t xml:space="preserve">76.09.040,</w:t>
      </w:r>
      <w:r>
        <w:rPr/>
        <w:t xml:space="preserve"> 76.09.055</w:t>
      </w:r>
      <w:r>
        <w:rPr>
          <w:u w:val="single"/>
        </w:rPr>
        <w:t xml:space="preserve">,</w:t>
      </w:r>
      <w:r>
        <w:rPr/>
        <w:t xml:space="preserve">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 landowner" means a landowner meeting all of the following characteristics:</w:t>
      </w:r>
    </w:p>
    <w:p>
      <w:pPr>
        <w:spacing w:before="0" w:after="0" w:line="408" w:lineRule="exact"/>
        <w:ind w:left="0" w:right="0" w:firstLine="576"/>
        <w:jc w:val="left"/>
      </w:pPr>
      <w:r>
        <w:rPr/>
        <w:t xml:space="preserve">(i) A forest landowner as defined in RCW 76.09.020 whose interest in the land and timber is in fee or who has rights to the timber to be included in the forestry riparian easement that extend at least fifty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ten years following application. If a landowner's prior three-year average harvest exceeds the limit of RCW 84.33.035, or the landowner expects to exceed this limit during the ten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 landowner. For purposes of determining whether a person qualifies as a small forest landowner, the small forest landowner office, created in RCW 76.13.110, shall evaluate the landowner under this definition, pursuant to RCW 76.13.160, as of the date that the forest practices application is submitted and the date that the department offers compensation for the forestry riparian easement. A small forest landowner can include an individual, partnership, corporation, or other nongovernmental legal entity. If a landowner grants timber rights to another entity for less than five years, the landowner may still qualify as a small forest landowner under this section. If a landowner is unable to obtain an approved forest practices application for timber harvest for any of his or her land because of restrictions under the forest practices rules, the landowner may still qualify as a small forest landowner under this section.</w:t>
      </w:r>
    </w:p>
    <w:p>
      <w:pPr>
        <w:spacing w:before="0" w:after="0" w:line="408" w:lineRule="exact"/>
        <w:ind w:left="0" w:right="0" w:firstLine="576"/>
        <w:jc w:val="left"/>
      </w:pPr>
      <w:r>
        <w:rPr/>
        <w:t xml:space="preserve">(e) "Completion of harvest" means that the trees have been harvested from an area and that further entry into that area by mechanized logging or slash treating equipment is not expected.</w:t>
      </w:r>
    </w:p>
    <w:p>
      <w:pPr>
        <w:spacing w:before="0" w:after="0" w:line="408" w:lineRule="exact"/>
        <w:ind w:left="0" w:right="0" w:firstLine="576"/>
        <w:jc w:val="left"/>
      </w:pPr>
      <w:r>
        <w:rPr/>
        <w:t xml:space="preserve">(3) The department is authorized and directed to accept and hold in the name of the state of Washington forestry riparian easements granted by qualifying small forest landowners covering qualifying timber and to pay compensation to </w:t>
      </w:r>
      <w:r>
        <w:t>((</w:t>
      </w:r>
      <w:r>
        <w:rPr>
          <w:strike/>
        </w:rPr>
        <w:t xml:space="preserve">such</w:t>
      </w:r>
      <w:r>
        <w:t>))</w:t>
      </w:r>
      <w:r>
        <w:rPr/>
        <w:t xml:space="preserve"> </w:t>
      </w:r>
      <w:r>
        <w:rPr>
          <w:u w:val="single"/>
        </w:rPr>
        <w:t xml:space="preserve">the</w:t>
      </w:r>
      <w:r>
        <w:rPr/>
        <w:t xml:space="preserve"> landowners in accordance with this section. The department may not transfer the easements to any entity other than another state agency.</w:t>
      </w:r>
    </w:p>
    <w:p>
      <w:pPr>
        <w:spacing w:before="0" w:after="0" w:line="408" w:lineRule="exact"/>
        <w:ind w:left="0" w:right="0" w:firstLine="576"/>
        <w:jc w:val="left"/>
      </w:pPr>
      <w:r>
        <w:rPr/>
        <w:t xml:space="preserve">(4) Forestry riparian easements shall be effective for fifty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rPr/>
        <w:t xml:space="preserve">(5) Forestry riparian easements shall be restrictive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rPr/>
        <w:t xml:space="preserve">(6) The small forest landowner office shall determine what constitutes a completed application for a forestry riparian easement. </w:t>
      </w:r>
      <w:r>
        <w:t>((</w:t>
      </w:r>
      <w:r>
        <w:rPr>
          <w:strike/>
        </w:rPr>
        <w:t xml:space="preserve">Such</w:t>
      </w:r>
      <w:r>
        <w:t>))</w:t>
      </w:r>
      <w:r>
        <w:rPr/>
        <w:t xml:space="preserve"> </w:t>
      </w:r>
      <w:r>
        <w:rPr>
          <w:u w:val="single"/>
        </w:rPr>
        <w:t xml:space="preserve">A</w:t>
      </w:r>
      <w:r>
        <w:rPr/>
        <w:t xml:space="preserve">n application shall, at a minimum, include documentation of the owner's status as a qualifying small forest landowner, identification of location and the types of qualifying timber, and notification of completion of harvest, if applicable.</w:t>
      </w:r>
    </w:p>
    <w:p>
      <w:pPr>
        <w:spacing w:before="0" w:after="0" w:line="408" w:lineRule="exact"/>
        <w:ind w:left="0" w:right="0" w:firstLine="576"/>
        <w:jc w:val="left"/>
      </w:pPr>
      <w:r>
        <w:rPr/>
        <w:t xml:space="preserve">(7) Upon receipt of the qualifying small forest landowner's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 landowner office </w:t>
      </w:r>
      <w:r>
        <w:t>((</w:t>
      </w:r>
      <w:r>
        <w:rPr>
          <w:strike/>
        </w:rPr>
        <w:t xml:space="preserve">shall</w:t>
      </w:r>
      <w:r>
        <w:t>))</w:t>
      </w:r>
      <w:r>
        <w:rPr/>
        <w:t xml:space="preserve"> </w:t>
      </w:r>
      <w:r>
        <w:rPr>
          <w:u w:val="single"/>
        </w:rPr>
        <w:t xml:space="preserve">must</w:t>
      </w:r>
      <w:r>
        <w:rPr/>
        <w:t xml:space="preserve"> determine the compensation to be offered to the qualifying small forest landowner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 landowner office, subject to the availability of amounts appropriated for this specific purpose, is responsible for assessing the volume of qualifying timber. However, no more than fifty percent of the total amounts appropriated for the forestry riparian easement program may be applied to determine the volume of qualifying timber for completed forestry riparian easement applications. Based on the volume established by the small forest landowner office and using data obtained or maintained by the department of revenue under RCW 84.33.074 and 84.33.091, the small forest landowner office shall attempt to determine the fair market value of the qualifying timber as of the date the complete forestry riparian easement application is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rPr/>
        <w:t xml:space="preserve">(8)(a) Except as provided in subsection (9) of this section and subject to the availability of amounts appropriated for this specific purpose, the small forest landowner office shall offer compensation for qualifying timber to the qualifying small forest landowner in the amount of fifty percent of the value determined by the small forest landowner office, plus the compliance and reimbursement costs as determined in accordance with RCW 76.13.140. However, compensation for any qualifying small forest landowner for qualifying timber located on potentially unstable slopes or landforms may not exceed a total of fifty thousand dollars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rPr/>
        <w:t xml:space="preserve">(9) For approved forest practices applications for which the regulatory impact is greater than the average percentage impact for all small forest landowners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 landowner office.</w:t>
      </w:r>
    </w:p>
    <w:p>
      <w:pPr>
        <w:spacing w:before="0" w:after="0" w:line="408" w:lineRule="exact"/>
        <w:ind w:left="0" w:right="0" w:firstLine="576"/>
        <w:jc w:val="left"/>
      </w:pPr>
      <w:r>
        <w:rPr/>
        <w:t xml:space="preserve">(10)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rPr/>
        <w:t xml:space="preserve">(a)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rPr/>
        <w:t xml:space="preserve">(b) Standards for descriptions of the easement premises with a degree of precision that is reasonable in relation to the values involved;</w:t>
      </w:r>
    </w:p>
    <w:p>
      <w:pPr>
        <w:spacing w:before="0" w:after="0" w:line="408" w:lineRule="exact"/>
        <w:ind w:left="0" w:right="0" w:firstLine="576"/>
        <w:jc w:val="left"/>
      </w:pPr>
      <w:r>
        <w:rPr/>
        <w:t xml:space="preserve">(c)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fifty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 landowners, and the small forest landowner office;</w:t>
      </w:r>
    </w:p>
    <w:p>
      <w:pPr>
        <w:spacing w:before="0" w:after="0" w:line="408" w:lineRule="exact"/>
        <w:ind w:left="0" w:right="0" w:firstLine="576"/>
        <w:jc w:val="left"/>
      </w:pPr>
      <w:r>
        <w:rPr/>
        <w:t xml:space="preserve">(d)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rPr/>
        <w:t xml:space="preserve">(e) A method to address blowdown of qualified timber falling outside the easement premises;</w:t>
      </w:r>
    </w:p>
    <w:p>
      <w:pPr>
        <w:spacing w:before="0" w:after="0" w:line="408" w:lineRule="exact"/>
        <w:ind w:left="0" w:right="0" w:firstLine="576"/>
        <w:jc w:val="left"/>
      </w:pPr>
      <w:r>
        <w:rPr/>
        <w:t xml:space="preserve">(f)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rPr/>
        <w:t xml:space="preserve">(g) High impact regulatory thresholds;</w:t>
      </w:r>
    </w:p>
    <w:p>
      <w:pPr>
        <w:spacing w:before="0" w:after="0" w:line="408" w:lineRule="exact"/>
        <w:ind w:left="0" w:right="0" w:firstLine="576"/>
        <w:jc w:val="left"/>
      </w:pPr>
      <w:r>
        <w:rPr/>
        <w:t xml:space="preserve">(h) A method to determine timber that is qualifying timber because it is rendered uneconomic to harvest by the rules adopted under RCW 76.09.055 and 76.09.370;</w:t>
      </w:r>
    </w:p>
    <w:p>
      <w:pPr>
        <w:spacing w:before="0" w:after="0" w:line="408" w:lineRule="exact"/>
        <w:ind w:left="0" w:right="0" w:firstLine="576"/>
        <w:jc w:val="left"/>
      </w:pPr>
      <w:r>
        <w:rPr/>
        <w:t xml:space="preserve">(i) A method for internal department review of small forest landowner office compensation decisions under this section; and</w:t>
      </w:r>
    </w:p>
    <w:p>
      <w:pPr>
        <w:spacing w:before="0" w:after="0" w:line="408" w:lineRule="exact"/>
        <w:ind w:left="0" w:right="0" w:firstLine="576"/>
        <w:jc w:val="left"/>
      </w:pPr>
      <w:r>
        <w:rPr/>
        <w:t xml:space="preserve">(j) Consistent with RCW 76.13.180, a method to collect reimbursement from landowners who received compensation for a forestry riparian easement and who, within the first ten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forest riparian easement program may be part of the state's overall carbon sequestration strategy. If the state creates a climate strategy, the department must share information regarding the carbon sequestration benefits of the forest riparian easement program with other state programs using methods and protocols established in the state climate strategy that attempt to quantify carbon storage or account for carbon emissions. The department must promote the expansion of funding for the forest riparian easement program and the ecosystem services supported by the program based on the findings stated in RCW 76.13.100. Nothing in this subsection allows a landowner to be reimbursed by the state more than once for the same forest riparian easement application.</w:t>
      </w:r>
    </w:p>
    <w:p/>
    <w:p>
      <w:pPr>
        <w:jc w:val="center"/>
      </w:pPr>
      <w:r>
        <w:rPr>
          <w:b/>
        </w:rPr>
        <w:t>--- END ---</w:t>
      </w:r>
    </w:p>
    <w:sectPr>
      <w:pgNumType w:start="1"/>
      <w:footerReference xmlns:r="http://schemas.openxmlformats.org/officeDocument/2006/relationships" r:id="R0fece11a3eab45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36cd8e6dc14f4d" /><Relationship Type="http://schemas.openxmlformats.org/officeDocument/2006/relationships/footer" Target="/word/footer.xml" Id="R0fece11a3eab45f0" /></Relationships>
</file>