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ce9a19924d4c6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1507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1507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1507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Holy and Hudgins</w:t>
      </w:r>
    </w:p>
    <w:p/>
    <w:p>
      <w:r>
        <w:rPr>
          <w:t xml:space="preserve">Read first time 01/23/17.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election reconciliation reports; and amending RCW 29A.60.235.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2011 c 10 s 62 are each amended to read as follows:</w:t>
      </w:r>
    </w:p>
    <w:p>
      <w:pPr>
        <w:spacing w:before="0" w:after="0" w:line="408" w:lineRule="exact"/>
        <w:ind w:left="0" w:right="0" w:firstLine="576"/>
        <w:jc w:val="left"/>
      </w:pPr>
      <w:r>
        <w:rPr>
          <w:u w:val="single"/>
        </w:rPr>
        <w:t xml:space="preserve">(1)</w:t>
      </w:r>
      <w:r>
        <w:rPr/>
        <w:t xml:space="preserve"> The county auditor shall prepare</w:t>
      </w:r>
      <w:r>
        <w:t>((</w:t>
      </w:r>
      <w:r>
        <w:rPr>
          <w:strike/>
        </w:rPr>
        <w:t xml:space="preserve">, make publicly available at the auditor's office or on the auditor's web site, and submit</w:t>
      </w:r>
      <w:r>
        <w:t>))</w:t>
      </w:r>
      <w:r>
        <w:rPr/>
        <w:t xml:space="preserve"> at the time of certification an election reconciliation report that discloses the following information: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number of registered voters;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number of ballots issued;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number of ballots received;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number of ballots counted;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number of ballots rejected;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number of provisional ballots issued;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number of provisional ballots received;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The number of provisional ballots counted;</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number of provisional ballots rejected;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The number of federal write-in ballots received;</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The number of federal write-in ballots counted;</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The number of federal write-in ballots rejected;</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The number of overseas and service ballots issued </w:t>
      </w:r>
      <w:r>
        <w:rPr>
          <w:u w:val="single"/>
        </w:rPr>
        <w:t xml:space="preserve">by mail, email, web site link, or facsimile</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The number of overseas and service ballots received </w:t>
      </w:r>
      <w:r>
        <w:rPr>
          <w:u w:val="single"/>
        </w:rPr>
        <w:t xml:space="preserve">by mail, email, or facsimile</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The number of overseas and service ballots counted </w:t>
      </w:r>
      <w:r>
        <w:rPr>
          <w:u w:val="single"/>
        </w:rPr>
        <w:t xml:space="preserve">by mail, email, or facsimile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The number of overseas and service ballots rejected </w:t>
      </w:r>
      <w:r>
        <w:rPr>
          <w:u w:val="single"/>
        </w:rPr>
        <w:t xml:space="preserve">by mail, email, or facsimile</w:t>
      </w:r>
      <w:r>
        <w:rPr/>
        <w:t xml:space="preserve">;</w:t>
      </w:r>
    </w:p>
    <w:p>
      <w:pPr>
        <w:spacing w:before="0" w:after="0" w:line="408" w:lineRule="exact"/>
        <w:ind w:left="0" w:right="0" w:firstLine="576"/>
        <w:jc w:val="left"/>
      </w:pPr>
      <w:r>
        <w:t>((</w:t>
      </w:r>
      <w:r>
        <w:rPr>
          <w:strike/>
        </w:rPr>
        <w:t xml:space="preserve">(17)</w:t>
      </w:r>
      <w:r>
        <w:t>))</w:t>
      </w:r>
      <w:r>
        <w:rPr/>
        <w:t xml:space="preserve"> </w:t>
      </w:r>
      <w:r>
        <w:rPr>
          <w:u w:val="single"/>
        </w:rPr>
        <w:t xml:space="preserve">(q) The number of nonoverseas and nonservice ballots sent by email, web site link, or facsimile;</w:t>
      </w:r>
    </w:p>
    <w:p>
      <w:pPr>
        <w:spacing w:before="0" w:after="0" w:line="408" w:lineRule="exact"/>
        <w:ind w:left="0" w:right="0" w:firstLine="576"/>
        <w:jc w:val="left"/>
      </w:pPr>
      <w:r>
        <w:rPr>
          <w:u w:val="single"/>
        </w:rPr>
        <w:t xml:space="preserve">(r) The number of nonoverseas and nonservice ballots received by email or facsimile;</w:t>
      </w:r>
    </w:p>
    <w:p>
      <w:pPr>
        <w:spacing w:before="0" w:after="0" w:line="408" w:lineRule="exact"/>
        <w:ind w:left="0" w:right="0" w:firstLine="576"/>
        <w:jc w:val="left"/>
      </w:pPr>
      <w:r>
        <w:rPr>
          <w:u w:val="single"/>
        </w:rPr>
        <w:t xml:space="preserve">(s) The number of nonoverseas and nonservice ballots that were rejected for:</w:t>
      </w:r>
    </w:p>
    <w:p>
      <w:pPr>
        <w:spacing w:before="0" w:after="0" w:line="408" w:lineRule="exact"/>
        <w:ind w:left="0" w:right="0" w:firstLine="576"/>
        <w:jc w:val="left"/>
      </w:pPr>
      <w:r>
        <w:rPr>
          <w:u w:val="single"/>
        </w:rPr>
        <w:t xml:space="preserve">(i) Failing to send an original or hard copy of the ballot by the certification deadline; or</w:t>
      </w:r>
    </w:p>
    <w:p>
      <w:pPr>
        <w:spacing w:before="0" w:after="0" w:line="408" w:lineRule="exact"/>
        <w:ind w:left="0" w:right="0" w:firstLine="576"/>
        <w:jc w:val="left"/>
      </w:pPr>
      <w:r>
        <w:rPr>
          <w:u w:val="single"/>
        </w:rPr>
        <w:t xml:space="preserve">(ii) Any other reason, including the reason for rejection;</w:t>
      </w:r>
    </w:p>
    <w:p>
      <w:pPr>
        <w:spacing w:before="0" w:after="0" w:line="408" w:lineRule="exact"/>
        <w:ind w:left="0" w:right="0" w:firstLine="576"/>
        <w:jc w:val="left"/>
      </w:pPr>
      <w:r>
        <w:rPr>
          <w:u w:val="single"/>
        </w:rPr>
        <w:t xml:space="preserve">(t)</w:t>
      </w:r>
      <w:r>
        <w:rPr/>
        <w:t xml:space="preserve"> The number of voters credited with voting; and</w:t>
      </w:r>
    </w:p>
    <w:p>
      <w:pPr>
        <w:spacing w:before="0" w:after="0" w:line="408" w:lineRule="exact"/>
        <w:ind w:left="0" w:right="0" w:firstLine="576"/>
        <w:jc w:val="left"/>
      </w:pPr>
      <w:r>
        <w:t>((</w:t>
      </w:r>
      <w:r>
        <w:rPr>
          <w:strike/>
        </w:rPr>
        <w:t xml:space="preserve">(18)</w:t>
      </w:r>
      <w:r>
        <w:t>))</w:t>
      </w:r>
      <w:r>
        <w:rPr/>
        <w:t xml:space="preserve"> </w:t>
      </w:r>
      <w:r>
        <w:rPr>
          <w:u w:val="single"/>
        </w:rPr>
        <w:t xml:space="preserve">(u)</w:t>
      </w:r>
      <w:r>
        <w:rPr/>
        <w:t xml:space="preserve"> Any other information the auditor or secretary of state deems necessary to reconcile the number of ballots counted with the number of voters credited with voting.</w:t>
      </w:r>
    </w:p>
    <w:p>
      <w:pPr>
        <w:spacing w:before="0" w:after="0" w:line="408" w:lineRule="exact"/>
        <w:ind w:left="0" w:right="0" w:firstLine="576"/>
        <w:jc w:val="left"/>
      </w:pPr>
      <w:r>
        <w:rPr>
          <w:u w:val="single"/>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u w:val="single"/>
        </w:rPr>
        <w:t xml:space="preserve">(3)(a)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u w:val="single"/>
        </w:rPr>
        <w:t xml:space="preserve">(b) The state report must include a comparison among counties on rates of votes received, counted, and rejected, including provisional, write-in, overseas ballots, and ballots transmitted electronically.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u w:val="single"/>
        </w:rPr>
        <w:t xml:space="preserve">(c) The state report must also include an analysis of the data that can be used to develop a better understanding of election administration and policy. The analysis must combine data, as available, over multiple years to provide broader comparisons and trends regarding voter registration and turnout and ballot counting. The analysis must incorporate national election statistics to the extent such information is available.</w:t>
      </w:r>
    </w:p>
    <w:p/>
    <w:p>
      <w:pPr>
        <w:jc w:val="center"/>
      </w:pPr>
      <w:r>
        <w:rPr>
          <w:b/>
        </w:rPr>
        <w:t>--- END ---</w:t>
      </w:r>
    </w:p>
    <w:sectPr>
      <w:pgNumType w:start="1"/>
      <w:footerReference xmlns:r="http://schemas.openxmlformats.org/officeDocument/2006/relationships" r:id="R59decd1d69f846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1507.PL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0fa18f9a84490b" /><Relationship Type="http://schemas.openxmlformats.org/officeDocument/2006/relationships/footer" Target="/word/footer.xml" Id="R59decd1d69f8464a" /></Relationships>
</file>