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41e6084dc24f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McCabe, Goodman, Klippert, Orwall, Hayes, Johnson, Griffey, Caldier, Dye, Sells, McDonald, Kilduff, and Smith)</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crime of voyeurism; amending RCW 9A.44.115 and 13.40.070;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intentionally photographs or films</w:t>
      </w:r>
      <w:r>
        <w:rPr>
          <w:u w:val="single"/>
        </w:rPr>
        <w:t xml:space="preserve"> another person for the purpose of photographing or filming the intimate areas of that person with the intent to distribute or disseminate the photograph or film,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u w:val="single"/>
        </w:rPr>
        <w:t xml:space="preserve">(c) Voyeurism in the second degree is not a sex offense for the purposes of sentencing or sex offender registration requirements under this chapter.</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2013 c 179 s 3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w:t>
      </w:r>
      <w:r>
        <w:t>((</w:t>
      </w:r>
      <w:r>
        <w:rPr>
          <w:strike/>
        </w:rPr>
        <w:t xml:space="preserve">(iii)</w:t>
      </w:r>
      <w:r>
        <w:t>))</w:t>
      </w:r>
      <w:r>
        <w:rPr/>
        <w:t xml:space="preserve"> </w:t>
      </w:r>
      <w:r>
        <w:rPr>
          <w:u w:val="single"/>
        </w:rPr>
        <w:t xml:space="preserve">(iv)</w:t>
      </w:r>
      <w:r>
        <w:rPr/>
        <w:t xml:space="preserve">;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r>
        <w:rPr>
          <w:u w:val="single"/>
        </w:rPr>
        <w:t xml:space="preserve">:</w:t>
      </w:r>
    </w:p>
    <w:p>
      <w:pPr>
        <w:spacing w:before="0" w:after="0" w:line="408" w:lineRule="exact"/>
        <w:ind w:left="0" w:right="0" w:firstLine="576"/>
        <w:jc w:val="left"/>
      </w:pPr>
      <w:r>
        <w:rPr>
          <w:u w:val="single"/>
        </w:rPr>
        <w:t xml:space="preserve">(a) E</w:t>
      </w:r>
      <w:r>
        <w:rPr/>
        <w:t xml:space="preserve">ither prostitution or prostitution loitering and the alleged offense is the offender's first prostitution or prostitution loitering offense, the prosecutor shall divert the case</w:t>
      </w:r>
      <w:r>
        <w:rPr>
          <w:u w:val="single"/>
        </w:rPr>
        <w:t xml:space="preserve">; or</w:t>
      </w:r>
    </w:p>
    <w:p>
      <w:pPr>
        <w:spacing w:before="0" w:after="0" w:line="408" w:lineRule="exact"/>
        <w:ind w:left="0" w:right="0" w:firstLine="576"/>
        <w:jc w:val="left"/>
      </w:pPr>
      <w:r>
        <w:rPr>
          <w:u w:val="single"/>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r>
        <w:rPr/>
        <w:t xml:space="preserv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58cb1c270e044d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3c1fbe8c34f3c" /><Relationship Type="http://schemas.openxmlformats.org/officeDocument/2006/relationships/footer" Target="/word/footer.xml" Id="R58cb1c270e044d33" /></Relationships>
</file>