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ad66e27554d96" /></Relationships>
</file>

<file path=word/document.xml><?xml version="1.0" encoding="utf-8"?>
<w:document xmlns:w="http://schemas.openxmlformats.org/wordprocessingml/2006/main">
  <w:body>
    <w:p>
      <w:r>
        <w:t>H-3409.1</w:t>
      </w:r>
    </w:p>
    <w:p>
      <w:pPr>
        <w:jc w:val="center"/>
      </w:pPr>
      <w:r>
        <w:t>_______________________________________________</w:t>
      </w:r>
    </w:p>
    <w:p/>
    <w:p>
      <w:pPr>
        <w:jc w:val="center"/>
      </w:pPr>
      <w:r>
        <w:rPr>
          <w:b/>
        </w:rPr>
        <w:t>HOUSE BILL 2794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McCabe, Lovick, Dye, Pettigrew, Klippert, Irwin, Dent, Haler, and Jenkin</w:t>
      </w:r>
    </w:p>
    <w:p/>
    <w:p>
      <w:r>
        <w:rPr>
          <w:t xml:space="preserve">Read first time 01/16/18.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drug-free zone perimeters designated under the uniform controlled substances act; amending RCW 69.50.435;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w:t>
      </w:r>
      <w:r>
        <w:t>((</w:t>
      </w:r>
      <w:r>
        <w:rPr>
          <w:strike/>
        </w:rPr>
        <w:t xml:space="preserve">one</w:t>
      </w:r>
      <w:r>
        <w:t>))</w:t>
      </w:r>
      <w:r>
        <w:rPr/>
        <w:t xml:space="preserve"> </w:t>
      </w:r>
      <w:r>
        <w:rPr>
          <w:u w:val="single"/>
        </w:rPr>
        <w:t xml:space="preserve">two</w:t>
      </w:r>
      <w:r>
        <w:rPr/>
        <w:t xml:space="preserve"> thousand feet of a school bus route stop designated by the school district;</w:t>
      </w:r>
    </w:p>
    <w:p>
      <w:pPr>
        <w:spacing w:before="0" w:after="0" w:line="408" w:lineRule="exact"/>
        <w:ind w:left="0" w:right="0" w:firstLine="576"/>
        <w:jc w:val="left"/>
      </w:pPr>
      <w:r>
        <w:rPr/>
        <w:t xml:space="preserve">(d) Within </w:t>
      </w:r>
      <w:r>
        <w:t>((</w:t>
      </w:r>
      <w:r>
        <w:rPr>
          <w:strike/>
        </w:rPr>
        <w:t xml:space="preserve">one</w:t>
      </w:r>
      <w:r>
        <w:t>))</w:t>
      </w:r>
      <w:r>
        <w:rPr/>
        <w:t xml:space="preserve"> </w:t>
      </w:r>
      <w:r>
        <w:rPr>
          <w:u w:val="single"/>
        </w:rPr>
        <w:t xml:space="preserve">two</w:t>
      </w:r>
      <w:r>
        <w:rPr/>
        <w:t xml:space="preserv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w:t>
      </w:r>
      <w:r>
        <w:t>((</w:t>
      </w:r>
      <w:r>
        <w:rPr>
          <w:strike/>
        </w:rPr>
        <w:t xml:space="preserve">one</w:t>
      </w:r>
      <w:r>
        <w:t>))</w:t>
      </w:r>
      <w:r>
        <w:rPr/>
        <w:t xml:space="preserve"> </w:t>
      </w:r>
      <w:r>
        <w:rPr>
          <w:u w:val="single"/>
        </w:rPr>
        <w:t xml:space="preserve">two</w:t>
      </w:r>
      <w:r>
        <w:rPr/>
        <w:t xml:space="preserve"> thousand feet of the perimeter of a facility designated under (i) of this subsection, if the local governing authority specifically designates the </w:t>
      </w:r>
      <w:r>
        <w:t>((</w:t>
      </w:r>
      <w:r>
        <w:rPr>
          <w:strike/>
        </w:rPr>
        <w:t xml:space="preserve">one</w:t>
      </w:r>
      <w:r>
        <w:t>))</w:t>
      </w:r>
      <w:r>
        <w:rPr/>
        <w:t xml:space="preserve"> </w:t>
      </w:r>
      <w:r>
        <w:rPr>
          <w:u w:val="single"/>
        </w:rPr>
        <w:t xml:space="preserve">two</w:t>
      </w:r>
      <w:r>
        <w:rPr/>
        <w:t xml:space="preserv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w:t>
      </w:r>
      <w:r>
        <w:t>((</w:t>
      </w:r>
      <w:r>
        <w:rPr>
          <w:strike/>
        </w:rPr>
        <w:t xml:space="preserve">one</w:t>
      </w:r>
      <w:r>
        <w:t>))</w:t>
      </w:r>
      <w:r>
        <w:rPr/>
        <w:t xml:space="preserve"> </w:t>
      </w:r>
      <w:r>
        <w:rPr>
          <w:u w:val="single"/>
        </w:rPr>
        <w:t xml:space="preserve">two</w:t>
      </w:r>
      <w:r>
        <w:rPr/>
        <w:t xml:space="preserv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w:t>
      </w:r>
      <w:r>
        <w:t>((</w:t>
      </w:r>
      <w:r>
        <w:rPr>
          <w:strike/>
        </w:rPr>
        <w:t xml:space="preserve">one</w:t>
      </w:r>
      <w:r>
        <w:t>))</w:t>
      </w:r>
      <w:r>
        <w:rPr/>
        <w:t xml:space="preserve"> </w:t>
      </w:r>
      <w:r>
        <w:rPr>
          <w:u w:val="single"/>
        </w:rPr>
        <w:t xml:space="preserve">two</w:t>
      </w:r>
      <w:r>
        <w:rPr/>
        <w:t xml:space="preserve"> thousand feet of the perimeter of a facility designated under subsection (1)(i) of this section, if the local governing authority specifically designates the </w:t>
      </w:r>
      <w:r>
        <w:t>((</w:t>
      </w:r>
      <w:r>
        <w:rPr>
          <w:strike/>
        </w:rPr>
        <w:t xml:space="preserve">one</w:t>
      </w:r>
      <w:r>
        <w:t>))</w:t>
      </w:r>
      <w:r>
        <w:rPr/>
        <w:t xml:space="preserve"> </w:t>
      </w:r>
      <w:r>
        <w:rPr>
          <w:u w:val="single"/>
        </w:rPr>
        <w:t xml:space="preserve">two</w:t>
      </w:r>
      <w:r>
        <w:rPr/>
        <w:t xml:space="preserv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w:t>
      </w:r>
      <w:r>
        <w:t>((</w:t>
      </w:r>
      <w:r>
        <w:rPr>
          <w:strike/>
        </w:rPr>
        <w:t xml:space="preserve">one</w:t>
      </w:r>
      <w:r>
        <w:t>))</w:t>
      </w:r>
      <w:r>
        <w:rPr/>
        <w:t xml:space="preserve"> </w:t>
      </w:r>
      <w:r>
        <w:rPr>
          <w:u w:val="single"/>
        </w:rPr>
        <w:t xml:space="preserve">two</w:t>
      </w:r>
      <w:r>
        <w:rPr/>
        <w:t xml:space="preserve"> thousand feet of the perimeter of a facility designated under subsection (1)(i) of this section, if the local governing authority specifically designates the </w:t>
      </w:r>
      <w:r>
        <w:t>((</w:t>
      </w:r>
      <w:r>
        <w:rPr>
          <w:strike/>
        </w:rPr>
        <w:t xml:space="preserve">one</w:t>
      </w:r>
      <w:r>
        <w:t>))</w:t>
      </w:r>
      <w:r>
        <w:rPr/>
        <w:t xml:space="preserve"> </w:t>
      </w:r>
      <w:r>
        <w:rPr>
          <w:u w:val="single"/>
        </w:rPr>
        <w:t xml:space="preserve">two</w:t>
      </w:r>
      <w:r>
        <w:rPr/>
        <w:t xml:space="preserv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w:t>
      </w:r>
      <w:r>
        <w:t>((</w:t>
      </w:r>
      <w:r>
        <w:rPr>
          <w:strike/>
        </w:rPr>
        <w:t xml:space="preserve">one</w:t>
      </w:r>
      <w:r>
        <w:t>))</w:t>
      </w:r>
      <w:r>
        <w:rPr/>
        <w:t xml:space="preserve"> </w:t>
      </w:r>
      <w:r>
        <w:rPr>
          <w:u w:val="single"/>
        </w:rPr>
        <w:t xml:space="preserve">two</w:t>
      </w:r>
      <w:r>
        <w:rPr/>
        <w:t xml:space="preserv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w:t>
      </w:r>
      <w:r>
        <w:t>((</w:t>
      </w:r>
      <w:r>
        <w:rPr>
          <w:strike/>
        </w:rPr>
        <w:t xml:space="preserve">one</w:t>
      </w:r>
      <w:r>
        <w:t>))</w:t>
      </w:r>
      <w:r>
        <w:rPr/>
        <w:t xml:space="preserve"> </w:t>
      </w:r>
      <w:r>
        <w:rPr>
          <w:u w:val="single"/>
        </w:rPr>
        <w:t xml:space="preserve">two</w:t>
      </w:r>
      <w:r>
        <w:rPr/>
        <w:t xml:space="preserv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
      <w:pPr>
        <w:jc w:val="center"/>
      </w:pPr>
      <w:r>
        <w:rPr>
          <w:b/>
        </w:rPr>
        <w:t>--- END ---</w:t>
      </w:r>
    </w:p>
    <w:sectPr>
      <w:pgNumType w:start="1"/>
      <w:footerReference xmlns:r="http://schemas.openxmlformats.org/officeDocument/2006/relationships" r:id="R4ca4839a23b643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d71b32b0842c0" /><Relationship Type="http://schemas.openxmlformats.org/officeDocument/2006/relationships/footer" Target="/word/footer.xml" Id="R4ca4839a23b64385" /></Relationships>
</file>