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79d707b1a94617" /></Relationships>
</file>

<file path=word/document.xml><?xml version="1.0" encoding="utf-8"?>
<w:document xmlns:w="http://schemas.openxmlformats.org/wordprocessingml/2006/main">
  <w:body>
    <w:p>
      <w:r>
        <w:t>H-3600.1</w:t>
      </w:r>
    </w:p>
    <w:p>
      <w:pPr>
        <w:jc w:val="center"/>
      </w:pPr>
      <w:r>
        <w:t>_______________________________________________</w:t>
      </w:r>
    </w:p>
    <w:p/>
    <w:p>
      <w:pPr>
        <w:jc w:val="center"/>
      </w:pPr>
      <w:r>
        <w:rPr>
          <w:b/>
        </w:rPr>
        <w:t>HOUSE BILL 2686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Ortiz-Self, Santos, Dolan, Frame, Bergquist, Doglio, Sells, and Ryu</w:t>
      </w:r>
    </w:p>
    <w:p/>
    <w:p>
      <w:r>
        <w:rPr>
          <w:t xml:space="preserve">Read first time 01/12/18.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plans; amending RCW 28A.230.090;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2017 3rd sp.s. c 31 s 4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r>
        <w:rPr>
          <w:u w:val="single"/>
        </w:rPr>
        <w:t xml:space="preserve">, and the plan must be provided to the students' parents or guardians in their native language</w:t>
      </w:r>
      <w:r>
        <w:rPr/>
        <w:t xml:space="preserve">.</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w:t>
      </w:r>
      <w:r>
        <w:rPr>
          <w:u w:val="single"/>
        </w:rPr>
        <w:t xml:space="preserve">Identification of dual credit programs and the opportunities they create for students, including career and technical education programs, running start programs, and college in the high school programs;</w:t>
      </w:r>
    </w:p>
    <w:p>
      <w:pPr>
        <w:spacing w:before="0" w:after="0" w:line="408" w:lineRule="exact"/>
        <w:ind w:left="0" w:right="0" w:firstLine="576"/>
        <w:jc w:val="left"/>
      </w:pPr>
      <w:r>
        <w:rPr>
          <w:u w:val="single"/>
        </w:rPr>
        <w:t xml:space="preserve">(D) Information about the college bound scholarship program established in chapter 28B.118 RCW;</w:t>
      </w:r>
    </w:p>
    <w:p>
      <w:pPr>
        <w:spacing w:before="0" w:after="0" w:line="408" w:lineRule="exact"/>
        <w:ind w:left="0" w:right="0" w:firstLine="576"/>
        <w:jc w:val="left"/>
      </w:pPr>
      <w:r>
        <w:rPr>
          <w:u w:val="single"/>
        </w:rPr>
        <w:t xml:space="preserve">(E)</w:t>
      </w:r>
      <w:r>
        <w:rPr/>
        <w:t xml:space="preserve"> A four-year plan for course taking that </w:t>
      </w:r>
      <w:r>
        <w:t>((</w:t>
      </w:r>
      <w:r>
        <w:rPr>
          <w:strike/>
        </w:rPr>
        <w:t xml:space="preserve">fulfills</w:t>
      </w:r>
      <w:r>
        <w:t>))</w:t>
      </w:r>
      <w:r>
        <w:rPr>
          <w:u w:val="single"/>
        </w:rPr>
        <w:t xml:space="preserve">:</w:t>
      </w:r>
    </w:p>
    <w:p>
      <w:pPr>
        <w:spacing w:before="0" w:after="0" w:line="408" w:lineRule="exact"/>
        <w:ind w:left="0" w:right="0" w:firstLine="576"/>
        <w:jc w:val="left"/>
      </w:pPr>
      <w:r>
        <w:rPr>
          <w:u w:val="single"/>
        </w:rPr>
        <w:t xml:space="preserve">(I) Includes information about options for satisfying state and local graduation requirements;</w:t>
      </w:r>
    </w:p>
    <w:p>
      <w:pPr>
        <w:spacing w:before="0" w:after="0" w:line="408" w:lineRule="exact"/>
        <w:ind w:left="0" w:right="0" w:firstLine="576"/>
        <w:jc w:val="left"/>
      </w:pPr>
      <w:r>
        <w:rPr>
          <w:u w:val="single"/>
        </w:rPr>
        <w:t xml:space="preserve">(II) Satisfies</w:t>
      </w:r>
      <w:r>
        <w:rPr/>
        <w:t xml:space="preserve"> state and local graduation requirements</w:t>
      </w:r>
      <w:r>
        <w:rPr>
          <w:u w:val="single"/>
        </w:rPr>
        <w:t xml:space="preserve">;</w:t>
      </w:r>
      <w:r>
        <w:rPr/>
        <w:t xml:space="preserve"> and</w:t>
      </w:r>
    </w:p>
    <w:p>
      <w:pPr>
        <w:spacing w:before="0" w:after="0" w:line="408" w:lineRule="exact"/>
        <w:ind w:left="0" w:right="0" w:firstLine="576"/>
        <w:jc w:val="left"/>
      </w:pPr>
      <w:r>
        <w:rPr>
          <w:u w:val="single"/>
        </w:rPr>
        <w:t xml:space="preserve">(III) A</w:t>
      </w:r>
      <w:r>
        <w:rPr/>
        <w:t xml:space="preserve">ligns with the student's </w:t>
      </w:r>
      <w:r>
        <w:t>((</w:t>
      </w:r>
      <w:r>
        <w:rPr>
          <w:strike/>
        </w:rPr>
        <w:t xml:space="preserve">career and educational</w:t>
      </w:r>
      <w:r>
        <w:t>))</w:t>
      </w:r>
      <w:r>
        <w:rPr/>
        <w:t xml:space="preserve"> </w:t>
      </w:r>
      <w:r>
        <w:rPr>
          <w:u w:val="single"/>
        </w:rPr>
        <w:t xml:space="preserve">secondary and postsecondary</w:t>
      </w:r>
      <w:r>
        <w:rPr/>
        <w:t xml:space="preserve"> goals; and</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students, and parents and guardians to identify best practices for high school and beyond plans that districts and schools may employ when complying with high school and beyond plan requirements adopted in accordance with RCW 28A.230.090. The identified best practices, which must consider differences in enrollment and other factors that distinguish districts from one another, must be posted on the web site of the office of the superintendent of public instruction by September 1, 2019, and may be revised periodically as necessary.</w:t>
      </w:r>
    </w:p>
    <w:p/>
    <w:p>
      <w:pPr>
        <w:jc w:val="center"/>
      </w:pPr>
      <w:r>
        <w:rPr>
          <w:b/>
        </w:rPr>
        <w:t>--- END ---</w:t>
      </w:r>
    </w:p>
    <w:sectPr>
      <w:pgNumType w:start="1"/>
      <w:footerReference xmlns:r="http://schemas.openxmlformats.org/officeDocument/2006/relationships" r:id="R5a5a9ac37fd0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cdae1e7974618" /><Relationship Type="http://schemas.openxmlformats.org/officeDocument/2006/relationships/footer" Target="/word/footer.xml" Id="R5a5a9ac37fd04f45" /></Relationships>
</file>