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68fd9179064ed9" /></Relationships>
</file>

<file path=word/document.xml><?xml version="1.0" encoding="utf-8"?>
<w:document xmlns:w="http://schemas.openxmlformats.org/wordprocessingml/2006/main">
  <w:body>
    <w:p>
      <w:r>
        <w:t>H-3260.3</w:t>
      </w:r>
    </w:p>
    <w:p>
      <w:pPr>
        <w:jc w:val="center"/>
      </w:pPr>
      <w:r>
        <w:t>_______________________________________________</w:t>
      </w:r>
    </w:p>
    <w:p/>
    <w:p>
      <w:pPr>
        <w:jc w:val="center"/>
      </w:pPr>
      <w:r>
        <w:rPr>
          <w:b/>
        </w:rPr>
        <w:t>HOUSE BILL 2553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Blake, Orcutt, Morris, and Hargrove</w:t>
      </w:r>
    </w:p>
    <w:p/>
    <w:p>
      <w:r>
        <w:rPr>
          <w:t xml:space="preserve">Read first time 01/10/18.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adjusting assessments levied on hardwood processors; amending RCW 15.74.060;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15</w:t>
      </w:r>
      <w:r>
        <w:rPr/>
        <w:t xml:space="preserve">.</w:t>
      </w:r>
      <w:r>
        <w:t xml:space="preserve">74</w:t>
      </w:r>
      <w:r>
        <w:rPr/>
        <w:t xml:space="preserve">.</w:t>
      </w:r>
      <w:r>
        <w:t xml:space="preserve">060</w:t>
      </w:r>
      <w:r>
        <w:rPr/>
        <w:t xml:space="preserve"> and 1991 c 67 s 3 are each amended to read as follows:</w:t>
      </w:r>
    </w:p>
    <w:p>
      <w:pPr>
        <w:spacing w:before="0" w:after="0" w:line="408" w:lineRule="exact"/>
        <w:ind w:left="0" w:right="0" w:firstLine="576"/>
        <w:jc w:val="left"/>
      </w:pPr>
      <w:r>
        <w:rPr/>
        <w:t xml:space="preserve">To provide for permanent funding of the Washington hardwoods commission, agricultural commodity assessments shall be levied by the commission on processors of hardwoods.</w:t>
      </w:r>
    </w:p>
    <w:p>
      <w:pPr>
        <w:spacing w:before="0" w:after="120" w:line="408" w:lineRule="exact"/>
        <w:ind w:left="0" w:right="0" w:firstLine="576"/>
        <w:jc w:val="left"/>
      </w:pPr>
      <w:r>
        <w:rPr/>
        <w:t xml:space="preserve">An assessment is hereby levied on hardwood processors operating within the state of Washington. The assessment </w:t>
      </w:r>
      <w:r>
        <w:t>((</w:t>
      </w:r>
      <w:r>
        <w:rPr>
          <w:strike/>
        </w:rPr>
        <w:t xml:space="preserve">categories</w:t>
      </w:r>
      <w:r>
        <w:t>))</w:t>
      </w:r>
      <w:r>
        <w:rPr/>
        <w:t xml:space="preserve"> shall be based on the hardwood processor's production per calendar quarter. The assessment shall be </w:t>
      </w:r>
      <w:r>
        <w:t>((</w:t>
      </w:r>
      <w:r>
        <w:rPr>
          <w:strike/>
        </w:rPr>
        <w:t xml:space="preserve">levied based upon the following schedule:</w:t>
      </w:r>
    </w:p>
    <w:tbl>
      <w:tblPr>
        <w:tblW w:w="0" w:type="auto"/>
        <w:jc w:val="center"/>
        <w:tcMar>
          <w:tblCellMar>
            <w:top w:w="0" w:type="dxa"/>
            <w:bottom w:w="0" w:type="dxa"/>
          </w:tblCellMar>
        </w:tcMar>
        <w:tcMar>
          <w:tblCellMar>
            <w:left w:w="70" w:type="dxa"/>
            <w:right w:w="70" w:type="dxa"/>
          </w:tblCellMar>
        </w:tcMar>
      </w:tblPr>
      <w:tblGrid>
        <w:gridCol w:w="1440"/>
        <w:gridCol w:w="1980"/>
        <w:gridCol w:w="1180"/>
        <w:gridCol w:w="260"/>
      </w:tblGrid>
      <w:tr>
        <w:tc>
          <w:tcPr>
            <w:tcW w:w="1440" w:type="dxa"/>
            <w:vAlign w:val="top"/>
          </w:tcPr>
          <w:p>
            <w:pPr>
              <w:spacing w:before="0" w:after="0" w:line="408" w:lineRule="exact"/>
              <w:ind w:left="0" w:right="0" w:firstLine="0"/>
              <w:jc w:val="left"/>
            </w:pPr>
            <w:r>
              <w:rPr>
                <w:rFonts w:ascii="Times New Roman" w:hAnsi="Times New Roman"/>
                <w:smallCaps/>
                <w:strike/>
                <w:sz w:val="20"/>
              </w:rPr>
              <w:t xml:space="preserve">Category</w:t>
            </w:r>
          </w:p>
        </w:tc>
        <w:tc>
          <w:tcPr>
            <w:tcW w:w="1980" w:type="dxa"/>
            <w:vAlign w:val="top"/>
          </w:tcPr>
          <w:p>
            <w:pPr>
              <w:spacing w:before="0" w:after="0" w:line="408" w:lineRule="exact"/>
              <w:ind w:left="0" w:right="0" w:firstLine="0"/>
              <w:jc w:val="left"/>
            </w:pPr>
            <w:r>
              <w:rPr>
                <w:rFonts w:ascii="Times New Roman" w:hAnsi="Times New Roman"/>
                <w:smallCaps/>
                <w:strike/>
                <w:sz w:val="20"/>
              </w:rPr>
              <w:t xml:space="preserve">Quarterly</w:t>
            </w:r>
          </w:p>
          <w:p>
            <w:pPr>
              <w:spacing w:before="0" w:after="0" w:line="408" w:lineRule="exact"/>
              <w:ind w:left="0" w:right="0" w:firstLine="0"/>
              <w:jc w:val="left"/>
            </w:pPr>
            <w:r>
              <w:rPr>
                <w:rFonts w:ascii="Times New Roman" w:hAnsi="Times New Roman"/>
                <w:smallCaps/>
                <w:strike/>
                <w:sz w:val="20"/>
              </w:rPr>
              <w:t xml:space="preserve">Production</w:t>
            </w:r>
          </w:p>
          <w:p>
            <w:pPr>
              <w:spacing w:before="0" w:after="120" w:line="408" w:lineRule="exact"/>
              <w:ind w:left="0" w:right="0" w:firstLine="0"/>
              <w:jc w:val="left"/>
            </w:pPr>
            <w:r>
              <w:rPr>
                <w:rFonts w:ascii="Times New Roman" w:hAnsi="Times New Roman"/>
                <w:smallCaps/>
                <w:strike/>
                <w:sz w:val="20"/>
              </w:rPr>
              <w:t xml:space="preserve">(Thousand Tons)</w:t>
            </w:r>
          </w:p>
        </w:tc>
        <w:tc>
          <w:tcPr>
            <w:gridSpan w:val="2"/>
            <w:tcW w:w="1440" w:type="dxa"/>
            <w:vAlign w:val="top"/>
          </w:tcPr>
          <w:p>
            <w:pPr>
              <w:spacing w:before="0" w:after="0" w:line="408" w:lineRule="exact"/>
              <w:ind w:left="0" w:right="0" w:firstLine="0"/>
              <w:jc w:val="center"/>
            </w:pPr>
            <w:r>
              <w:rPr>
                <w:rFonts w:ascii="Times New Roman" w:hAnsi="Times New Roman"/>
                <w:smallCaps/>
                <w:strike/>
                <w:sz w:val="20"/>
              </w:rPr>
              <w:t xml:space="preserve">Quarterly</w:t>
            </w:r>
          </w:p>
          <w:p>
            <w:pPr>
              <w:spacing w:before="0" w:after="0" w:line="408" w:lineRule="exact"/>
              <w:ind w:left="0" w:right="0" w:firstLine="0"/>
              <w:jc w:val="center"/>
            </w:pPr>
            <w:r>
              <w:rPr>
                <w:rFonts w:ascii="Times New Roman" w:hAnsi="Times New Roman"/>
                <w:smallCaps/>
                <w:strike/>
                <w:sz w:val="20"/>
              </w:rPr>
              <w:t xml:space="preserve">Assessment</w:t>
            </w:r>
          </w:p>
        </w:tc>
      </w:tr>
      <w:tr>
        <w:tc>
          <w:tcPr>
            <w:tcW w:w="1440" w:type="dxa"/>
            <w:vAlign w:val="top"/>
          </w:tcPr>
          <w:p>
            <w:pPr>
              <w:spacing w:before="0" w:after="0" w:line="408" w:lineRule="exact"/>
              <w:ind w:left="0" w:right="0" w:firstLine="0"/>
              <w:jc w:val="left"/>
            </w:pPr>
            <w:r>
              <w:rPr>
                <w:rFonts w:ascii="Times New Roman" w:hAnsi="Times New Roman"/>
                <w:strike/>
                <w:sz w:val="20"/>
              </w:rPr>
              <w:t xml:space="preserve">1</w:t>
            </w:r>
          </w:p>
        </w:tc>
        <w:tc>
          <w:tcPr>
            <w:tcW w:w="1980" w:type="dxa"/>
            <w:vAlign w:val="top"/>
          </w:tcPr>
          <w:p>
            <w:pPr>
              <w:spacing w:before="0" w:after="0" w:line="408" w:lineRule="exact"/>
              <w:ind w:left="0" w:right="0" w:firstLine="0"/>
              <w:jc w:val="left"/>
            </w:pPr>
            <w:r>
              <w:rPr>
                <w:rFonts w:ascii="Times New Roman" w:hAnsi="Times New Roman"/>
                <w:strike/>
                <w:sz w:val="20"/>
              </w:rPr>
              <w:t xml:space="preserve">5 to 7.5</w:t>
            </w:r>
          </w:p>
        </w:tc>
        <w:tc>
          <w:tcPr>
            <w:tcW w:w="1180" w:type="dxa"/>
            <w:vAlign w:val="top"/>
          </w:tcPr>
          <w:p>
            <w:pPr>
              <w:spacing w:before="0" w:after="0" w:line="408" w:lineRule="exact"/>
              <w:ind w:left="0" w:right="0" w:firstLine="0"/>
              <w:jc w:val="right"/>
            </w:pPr>
            <w:r>
              <w:rPr>
                <w:rFonts w:ascii="Times New Roman" w:hAnsi="Times New Roman"/>
                <w:strike/>
                <w:sz w:val="20"/>
              </w:rPr>
              <w:t xml:space="preserve">$ 150</w:t>
            </w:r>
          </w:p>
        </w:tc>
        <w:tc>
          <w:tcPr>
            <w:tcW w:w="260" w:type="dxa"/>
            <w:vAlign w:val="top"/>
          </w:tcPr>
          <w:p>
            <w:pPr>
              <w:spacing w:before="0" w:after="0" w:line="408" w:lineRule="exact"/>
              <w:ind w:left="0" w:right="0" w:firstLine="0"/>
              <w:jc w:val="right"/>
            </w:pPr>
          </w:p>
        </w:tc>
      </w:tr>
      <w:tr>
        <w:tc>
          <w:tcPr>
            <w:tcW w:w="1440" w:type="dxa"/>
            <w:vAlign w:val="top"/>
          </w:tcPr>
          <w:p>
            <w:pPr>
              <w:spacing w:before="0" w:after="0" w:line="408" w:lineRule="exact"/>
              <w:ind w:left="0" w:right="0" w:firstLine="0"/>
              <w:jc w:val="left"/>
            </w:pPr>
            <w:r>
              <w:rPr>
                <w:rFonts w:ascii="Times New Roman" w:hAnsi="Times New Roman"/>
                <w:strike/>
                <w:sz w:val="20"/>
              </w:rPr>
              <w:t xml:space="preserve">2</w:t>
            </w:r>
          </w:p>
        </w:tc>
        <w:tc>
          <w:tcPr>
            <w:tcW w:w="1980" w:type="dxa"/>
            <w:vAlign w:val="top"/>
          </w:tcPr>
          <w:p>
            <w:pPr>
              <w:spacing w:before="0" w:after="0" w:line="408" w:lineRule="exact"/>
              <w:ind w:left="0" w:right="0" w:firstLine="0"/>
              <w:jc w:val="left"/>
            </w:pPr>
            <w:r>
              <w:rPr>
                <w:rFonts w:ascii="Times New Roman" w:hAnsi="Times New Roman"/>
                <w:strike/>
                <w:sz w:val="20"/>
              </w:rPr>
              <w:t xml:space="preserve">7.5 to 15</w:t>
            </w:r>
          </w:p>
        </w:tc>
        <w:tc>
          <w:tcPr>
            <w:tcW w:w="1180" w:type="dxa"/>
            <w:vAlign w:val="top"/>
          </w:tcPr>
          <w:p>
            <w:pPr>
              <w:spacing w:before="0" w:after="0" w:line="408" w:lineRule="exact"/>
              <w:ind w:left="0" w:right="0" w:firstLine="0"/>
              <w:jc w:val="right"/>
            </w:pPr>
            <w:r>
              <w:rPr>
                <w:rFonts w:ascii="Times New Roman" w:hAnsi="Times New Roman"/>
                <w:strike/>
                <w:sz w:val="20"/>
              </w:rPr>
              <w:t xml:space="preserve">$ 300</w:t>
            </w:r>
          </w:p>
        </w:tc>
        <w:tc>
          <w:tcPr>
            <w:tcW w:w="260" w:type="dxa"/>
            <w:vAlign w:val="top"/>
          </w:tcPr>
          <w:p>
            <w:pPr>
              <w:spacing w:before="0" w:after="0" w:line="408" w:lineRule="exact"/>
              <w:ind w:left="0" w:right="0" w:firstLine="0"/>
              <w:jc w:val="right"/>
            </w:pPr>
          </w:p>
        </w:tc>
      </w:tr>
      <w:tr>
        <w:tc>
          <w:tcPr>
            <w:tcW w:w="1440" w:type="dxa"/>
            <w:vAlign w:val="top"/>
          </w:tcPr>
          <w:p>
            <w:pPr>
              <w:spacing w:before="0" w:after="0" w:line="408" w:lineRule="exact"/>
              <w:ind w:left="0" w:right="0" w:firstLine="0"/>
              <w:jc w:val="left"/>
            </w:pPr>
            <w:r>
              <w:rPr>
                <w:rFonts w:ascii="Times New Roman" w:hAnsi="Times New Roman"/>
                <w:strike/>
                <w:sz w:val="20"/>
              </w:rPr>
              <w:t xml:space="preserve">3</w:t>
            </w:r>
          </w:p>
        </w:tc>
        <w:tc>
          <w:tcPr>
            <w:tcW w:w="1980" w:type="dxa"/>
            <w:vAlign w:val="top"/>
          </w:tcPr>
          <w:p>
            <w:pPr>
              <w:spacing w:before="0" w:after="0" w:line="408" w:lineRule="exact"/>
              <w:ind w:left="0" w:right="0" w:firstLine="0"/>
              <w:jc w:val="left"/>
            </w:pPr>
            <w:r>
              <w:rPr>
                <w:rFonts w:ascii="Times New Roman" w:hAnsi="Times New Roman"/>
                <w:strike/>
                <w:sz w:val="20"/>
              </w:rPr>
              <w:t xml:space="preserve">15 to 25</w:t>
            </w:r>
          </w:p>
        </w:tc>
        <w:tc>
          <w:tcPr>
            <w:tcW w:w="1180" w:type="dxa"/>
            <w:vAlign w:val="top"/>
          </w:tcPr>
          <w:p>
            <w:pPr>
              <w:spacing w:before="0" w:after="0" w:line="408" w:lineRule="exact"/>
              <w:ind w:left="0" w:right="0" w:firstLine="0"/>
              <w:jc w:val="right"/>
            </w:pPr>
            <w:r>
              <w:rPr>
                <w:rFonts w:ascii="Times New Roman" w:hAnsi="Times New Roman"/>
                <w:strike/>
                <w:sz w:val="20"/>
              </w:rPr>
              <w:t xml:space="preserve">$ 600</w:t>
            </w:r>
          </w:p>
        </w:tc>
        <w:tc>
          <w:tcPr>
            <w:tcW w:w="260" w:type="dxa"/>
            <w:vAlign w:val="top"/>
          </w:tcPr>
          <w:p>
            <w:pPr>
              <w:spacing w:before="0" w:after="0" w:line="408" w:lineRule="exact"/>
              <w:ind w:left="0" w:right="0" w:firstLine="0"/>
              <w:jc w:val="right"/>
            </w:pPr>
          </w:p>
        </w:tc>
      </w:tr>
      <w:tr>
        <w:tc>
          <w:tcPr>
            <w:tcW w:w="1440" w:type="dxa"/>
            <w:vAlign w:val="top"/>
          </w:tcPr>
          <w:p>
            <w:pPr>
              <w:spacing w:before="0" w:after="0" w:line="408" w:lineRule="exact"/>
              <w:ind w:left="0" w:right="0" w:firstLine="0"/>
              <w:jc w:val="left"/>
            </w:pPr>
            <w:r>
              <w:rPr>
                <w:rFonts w:ascii="Times New Roman" w:hAnsi="Times New Roman"/>
                <w:strike/>
                <w:sz w:val="20"/>
              </w:rPr>
              <w:t xml:space="preserve">4</w:t>
            </w:r>
          </w:p>
        </w:tc>
        <w:tc>
          <w:tcPr>
            <w:tcW w:w="1980" w:type="dxa"/>
            <w:vAlign w:val="top"/>
          </w:tcPr>
          <w:p>
            <w:pPr>
              <w:spacing w:before="0" w:after="0" w:line="408" w:lineRule="exact"/>
              <w:ind w:left="0" w:right="0" w:firstLine="0"/>
              <w:jc w:val="left"/>
            </w:pPr>
            <w:r>
              <w:rPr>
                <w:rFonts w:ascii="Times New Roman" w:hAnsi="Times New Roman"/>
                <w:strike/>
                <w:sz w:val="20"/>
              </w:rPr>
              <w:t xml:space="preserve">25 to 35</w:t>
            </w:r>
          </w:p>
        </w:tc>
        <w:tc>
          <w:tcPr>
            <w:tcW w:w="1180" w:type="dxa"/>
            <w:vAlign w:val="top"/>
          </w:tcPr>
          <w:p>
            <w:pPr>
              <w:spacing w:before="0" w:after="0" w:line="408" w:lineRule="exact"/>
              <w:ind w:left="0" w:right="0" w:firstLine="0"/>
              <w:jc w:val="right"/>
            </w:pPr>
            <w:r>
              <w:rPr>
                <w:rFonts w:ascii="Times New Roman" w:hAnsi="Times New Roman"/>
                <w:strike/>
                <w:sz w:val="20"/>
              </w:rPr>
              <w:t xml:space="preserve">$ 900</w:t>
            </w:r>
          </w:p>
        </w:tc>
        <w:tc>
          <w:tcPr>
            <w:tcW w:w="260" w:type="dxa"/>
            <w:vAlign w:val="top"/>
          </w:tcPr>
          <w:p>
            <w:pPr>
              <w:spacing w:before="0" w:after="0" w:line="408" w:lineRule="exact"/>
              <w:ind w:left="0" w:right="0" w:firstLine="0"/>
              <w:jc w:val="right"/>
            </w:pPr>
          </w:p>
        </w:tc>
      </w:tr>
      <w:tr>
        <w:tc>
          <w:tcPr>
            <w:tcW w:w="1440" w:type="dxa"/>
            <w:vAlign w:val="top"/>
          </w:tcPr>
          <w:p>
            <w:pPr>
              <w:spacing w:before="0" w:after="0" w:line="408" w:lineRule="exact"/>
              <w:ind w:left="0" w:right="0" w:firstLine="0"/>
              <w:jc w:val="left"/>
            </w:pPr>
            <w:r>
              <w:rPr>
                <w:rFonts w:ascii="Times New Roman" w:hAnsi="Times New Roman"/>
                <w:strike/>
                <w:sz w:val="20"/>
              </w:rPr>
              <w:t xml:space="preserve">5</w:t>
            </w:r>
          </w:p>
        </w:tc>
        <w:tc>
          <w:tcPr>
            <w:tcW w:w="1980" w:type="dxa"/>
            <w:vAlign w:val="top"/>
          </w:tcPr>
          <w:p>
            <w:pPr>
              <w:spacing w:before="0" w:after="0" w:line="408" w:lineRule="exact"/>
              <w:ind w:left="0" w:right="0" w:firstLine="0"/>
              <w:jc w:val="left"/>
            </w:pPr>
            <w:r>
              <w:rPr>
                <w:rFonts w:ascii="Times New Roman" w:hAnsi="Times New Roman"/>
                <w:strike/>
                <w:sz w:val="20"/>
              </w:rPr>
              <w:t xml:space="preserve">35 to 45</w:t>
            </w:r>
          </w:p>
        </w:tc>
        <w:tc>
          <w:tcPr>
            <w:tcW w:w="1180" w:type="dxa"/>
            <w:vAlign w:val="top"/>
          </w:tcPr>
          <w:p>
            <w:pPr>
              <w:spacing w:before="0" w:after="0" w:line="408" w:lineRule="exact"/>
              <w:ind w:left="0" w:right="0" w:firstLine="0"/>
              <w:jc w:val="right"/>
            </w:pPr>
            <w:r>
              <w:rPr>
                <w:rFonts w:ascii="Times New Roman" w:hAnsi="Times New Roman"/>
                <w:strike/>
                <w:sz w:val="20"/>
              </w:rPr>
              <w:t xml:space="preserve">$ 1,200</w:t>
            </w:r>
          </w:p>
        </w:tc>
        <w:tc>
          <w:tcPr>
            <w:tcW w:w="260" w:type="dxa"/>
            <w:vAlign w:val="top"/>
          </w:tcPr>
          <w:p>
            <w:pPr>
              <w:spacing w:before="0" w:after="0" w:line="408" w:lineRule="exact"/>
              <w:ind w:left="0" w:right="0" w:firstLine="0"/>
              <w:jc w:val="right"/>
            </w:pPr>
          </w:p>
        </w:tc>
      </w:tr>
      <w:tr>
        <w:tc>
          <w:tcPr>
            <w:tcW w:w="1440" w:type="dxa"/>
            <w:vAlign w:val="top"/>
          </w:tcPr>
          <w:p>
            <w:pPr>
              <w:spacing w:before="0" w:after="0" w:line="408" w:lineRule="exact"/>
              <w:ind w:left="0" w:right="0" w:firstLine="0"/>
              <w:jc w:val="left"/>
            </w:pPr>
            <w:r>
              <w:rPr>
                <w:rFonts w:ascii="Times New Roman" w:hAnsi="Times New Roman"/>
                <w:strike/>
                <w:sz w:val="20"/>
              </w:rPr>
              <w:t xml:space="preserve">6</w:t>
            </w:r>
          </w:p>
        </w:tc>
        <w:tc>
          <w:tcPr>
            <w:tcW w:w="1980" w:type="dxa"/>
            <w:vAlign w:val="top"/>
          </w:tcPr>
          <w:p>
            <w:pPr>
              <w:spacing w:before="0" w:after="0" w:line="408" w:lineRule="exact"/>
              <w:ind w:left="0" w:right="0" w:firstLine="0"/>
              <w:jc w:val="left"/>
            </w:pPr>
            <w:r>
              <w:rPr>
                <w:rFonts w:ascii="Times New Roman" w:hAnsi="Times New Roman"/>
                <w:strike/>
                <w:sz w:val="20"/>
              </w:rPr>
              <w:t xml:space="preserve">45 to 62.5</w:t>
            </w:r>
          </w:p>
        </w:tc>
        <w:tc>
          <w:tcPr>
            <w:tcW w:w="1180" w:type="dxa"/>
            <w:vAlign w:val="top"/>
          </w:tcPr>
          <w:p>
            <w:pPr>
              <w:spacing w:before="0" w:after="0" w:line="408" w:lineRule="exact"/>
              <w:ind w:left="0" w:right="0" w:firstLine="0"/>
              <w:jc w:val="right"/>
            </w:pPr>
            <w:r>
              <w:rPr>
                <w:rFonts w:ascii="Times New Roman" w:hAnsi="Times New Roman"/>
                <w:strike/>
                <w:sz w:val="20"/>
              </w:rPr>
              <w:t xml:space="preserve">$ 1,500</w:t>
            </w:r>
          </w:p>
        </w:tc>
        <w:tc>
          <w:tcPr>
            <w:tcW w:w="260" w:type="dxa"/>
            <w:vAlign w:val="top"/>
          </w:tcPr>
          <w:p>
            <w:pPr>
              <w:spacing w:before="0" w:after="0" w:line="408" w:lineRule="exact"/>
              <w:ind w:left="0" w:right="0" w:firstLine="0"/>
              <w:jc w:val="right"/>
            </w:pPr>
          </w:p>
        </w:tc>
      </w:tr>
      <w:tr>
        <w:tc>
          <w:tcPr>
            <w:tcW w:w="1440" w:type="dxa"/>
            <w:vAlign w:val="top"/>
          </w:tcPr>
          <w:p>
            <w:pPr>
              <w:spacing w:before="0" w:after="0" w:line="408" w:lineRule="exact"/>
              <w:ind w:left="0" w:right="0" w:firstLine="0"/>
              <w:jc w:val="left"/>
            </w:pPr>
            <w:r>
              <w:rPr>
                <w:rFonts w:ascii="Times New Roman" w:hAnsi="Times New Roman"/>
                <w:strike/>
                <w:sz w:val="20"/>
              </w:rPr>
              <w:t xml:space="preserve">7</w:t>
            </w:r>
          </w:p>
        </w:tc>
        <w:tc>
          <w:tcPr>
            <w:tcW w:w="1980" w:type="dxa"/>
            <w:vAlign w:val="top"/>
          </w:tcPr>
          <w:p>
            <w:pPr>
              <w:spacing w:before="0" w:after="0" w:line="408" w:lineRule="exact"/>
              <w:ind w:left="0" w:right="0" w:firstLine="0"/>
              <w:jc w:val="left"/>
            </w:pPr>
            <w:r>
              <w:rPr>
                <w:rFonts w:ascii="Times New Roman" w:hAnsi="Times New Roman"/>
                <w:strike/>
                <w:sz w:val="20"/>
              </w:rPr>
              <w:t xml:space="preserve">62.5 to 82.5</w:t>
            </w:r>
          </w:p>
        </w:tc>
        <w:tc>
          <w:tcPr>
            <w:tcW w:w="1180" w:type="dxa"/>
            <w:vAlign w:val="top"/>
          </w:tcPr>
          <w:p>
            <w:pPr>
              <w:spacing w:before="0" w:after="0" w:line="408" w:lineRule="exact"/>
              <w:ind w:left="0" w:right="0" w:firstLine="0"/>
              <w:jc w:val="right"/>
            </w:pPr>
            <w:r>
              <w:rPr>
                <w:rFonts w:ascii="Times New Roman" w:hAnsi="Times New Roman"/>
                <w:strike/>
                <w:sz w:val="20"/>
              </w:rPr>
              <w:t xml:space="preserve">$ 2,250</w:t>
            </w:r>
          </w:p>
        </w:tc>
        <w:tc>
          <w:tcPr>
            <w:tcW w:w="260" w:type="dxa"/>
            <w:vAlign w:val="top"/>
          </w:tcPr>
          <w:p>
            <w:pPr>
              <w:spacing w:before="0" w:after="0" w:line="408" w:lineRule="exact"/>
              <w:ind w:left="0" w:right="0" w:firstLine="0"/>
              <w:jc w:val="right"/>
            </w:pPr>
          </w:p>
        </w:tc>
      </w:tr>
      <w:tr>
        <w:tc>
          <w:tcPr>
            <w:tcW w:w="1440" w:type="dxa"/>
            <w:vAlign w:val="top"/>
          </w:tcPr>
          <w:p>
            <w:pPr>
              <w:spacing w:before="0" w:after="0" w:line="408" w:lineRule="exact"/>
              <w:ind w:left="0" w:right="0" w:firstLine="0"/>
              <w:jc w:val="left"/>
            </w:pPr>
            <w:r>
              <w:rPr>
                <w:rFonts w:ascii="Times New Roman" w:hAnsi="Times New Roman"/>
                <w:strike/>
                <w:sz w:val="20"/>
              </w:rPr>
              <w:t xml:space="preserve">8</w:t>
            </w:r>
          </w:p>
        </w:tc>
        <w:tc>
          <w:tcPr>
            <w:tcW w:w="1980" w:type="dxa"/>
            <w:vAlign w:val="top"/>
          </w:tcPr>
          <w:p>
            <w:pPr>
              <w:spacing w:before="0" w:after="0" w:line="408" w:lineRule="exact"/>
              <w:ind w:left="0" w:right="0" w:firstLine="0"/>
              <w:jc w:val="left"/>
            </w:pPr>
            <w:r>
              <w:rPr>
                <w:rFonts w:ascii="Times New Roman" w:hAnsi="Times New Roman"/>
                <w:strike/>
                <w:sz w:val="20"/>
              </w:rPr>
              <w:t xml:space="preserve">82.5 to 125</w:t>
            </w:r>
          </w:p>
        </w:tc>
        <w:tc>
          <w:tcPr>
            <w:tcW w:w="1180" w:type="dxa"/>
            <w:vAlign w:val="top"/>
          </w:tcPr>
          <w:p>
            <w:pPr>
              <w:spacing w:before="0" w:after="0" w:line="408" w:lineRule="exact"/>
              <w:ind w:left="0" w:right="0" w:firstLine="0"/>
              <w:jc w:val="right"/>
            </w:pPr>
            <w:r>
              <w:rPr>
                <w:rFonts w:ascii="Times New Roman" w:hAnsi="Times New Roman"/>
                <w:strike/>
                <w:sz w:val="20"/>
              </w:rPr>
              <w:t xml:space="preserve">$ 3,000</w:t>
            </w:r>
          </w:p>
        </w:tc>
        <w:tc>
          <w:tcPr>
            <w:tcW w:w="260" w:type="dxa"/>
            <w:vAlign w:val="top"/>
          </w:tcPr>
          <w:p>
            <w:pPr>
              <w:spacing w:before="0" w:after="0" w:line="408" w:lineRule="exact"/>
              <w:ind w:left="0" w:right="0" w:firstLine="0"/>
              <w:jc w:val="right"/>
            </w:pPr>
          </w:p>
        </w:tc>
      </w:tr>
      <w:tr>
        <w:tc>
          <w:tcPr>
            <w:tcW w:w="1440" w:type="dxa"/>
            <w:vAlign w:val="top"/>
          </w:tcPr>
          <w:p>
            <w:pPr>
              <w:spacing w:before="0" w:after="0" w:line="408" w:lineRule="exact"/>
              <w:ind w:left="0" w:right="0" w:firstLine="0"/>
              <w:jc w:val="left"/>
            </w:pPr>
            <w:r>
              <w:rPr>
                <w:rFonts w:ascii="Times New Roman" w:hAnsi="Times New Roman"/>
                <w:strike/>
                <w:sz w:val="20"/>
              </w:rPr>
              <w:t xml:space="preserve">9</w:t>
            </w:r>
          </w:p>
        </w:tc>
        <w:tc>
          <w:tcPr>
            <w:tcW w:w="1980" w:type="dxa"/>
            <w:vAlign w:val="top"/>
          </w:tcPr>
          <w:p>
            <w:pPr>
              <w:spacing w:before="0" w:after="0" w:line="408" w:lineRule="exact"/>
              <w:ind w:left="0" w:right="0" w:firstLine="0"/>
              <w:jc w:val="left"/>
            </w:pPr>
            <w:r>
              <w:rPr>
                <w:rFonts w:ascii="Times New Roman" w:hAnsi="Times New Roman"/>
                <w:strike/>
                <w:sz w:val="20"/>
              </w:rPr>
              <w:t xml:space="preserve">125 to 175</w:t>
            </w:r>
          </w:p>
        </w:tc>
        <w:tc>
          <w:tcPr>
            <w:tcW w:w="1180" w:type="dxa"/>
            <w:vAlign w:val="top"/>
          </w:tcPr>
          <w:p>
            <w:pPr>
              <w:spacing w:before="0" w:after="0" w:line="408" w:lineRule="exact"/>
              <w:ind w:left="0" w:right="0" w:firstLine="0"/>
              <w:jc w:val="right"/>
            </w:pPr>
            <w:r>
              <w:rPr>
                <w:rFonts w:ascii="Times New Roman" w:hAnsi="Times New Roman"/>
                <w:strike/>
                <w:sz w:val="20"/>
              </w:rPr>
              <w:t xml:space="preserve">$ 4,500</w:t>
            </w:r>
          </w:p>
        </w:tc>
        <w:tc>
          <w:tcPr>
            <w:tcW w:w="260" w:type="dxa"/>
            <w:vAlign w:val="top"/>
          </w:tcPr>
          <w:p>
            <w:pPr>
              <w:spacing w:before="0" w:after="0" w:line="408" w:lineRule="exact"/>
              <w:ind w:left="0" w:right="0" w:firstLine="0"/>
              <w:jc w:val="right"/>
            </w:pPr>
          </w:p>
        </w:tc>
      </w:tr>
      <w:tr>
        <w:tc>
          <w:tcPr>
            <w:tcW w:w="1440" w:type="dxa"/>
            <w:vAlign w:val="top"/>
          </w:tcPr>
          <w:p>
            <w:pPr>
              <w:spacing w:before="0" w:after="0" w:line="408" w:lineRule="exact"/>
              <w:ind w:left="0" w:right="0" w:firstLine="0"/>
              <w:jc w:val="left"/>
            </w:pPr>
            <w:r>
              <w:rPr>
                <w:rFonts w:ascii="Times New Roman" w:hAnsi="Times New Roman"/>
                <w:strike/>
                <w:sz w:val="20"/>
              </w:rPr>
              <w:t xml:space="preserve">10</w:t>
            </w:r>
          </w:p>
        </w:tc>
        <w:tc>
          <w:tcPr>
            <w:tcW w:w="1980" w:type="dxa"/>
            <w:vAlign w:val="top"/>
          </w:tcPr>
          <w:p>
            <w:pPr>
              <w:spacing w:before="0" w:after="0" w:line="408" w:lineRule="exact"/>
              <w:ind w:left="0" w:right="0" w:firstLine="0"/>
              <w:jc w:val="left"/>
            </w:pPr>
            <w:r>
              <w:rPr>
                <w:rFonts w:ascii="Times New Roman" w:hAnsi="Times New Roman"/>
                <w:strike/>
                <w:sz w:val="20"/>
              </w:rPr>
              <w:t xml:space="preserve">175 to 250</w:t>
            </w:r>
          </w:p>
        </w:tc>
        <w:tc>
          <w:tcPr>
            <w:tcW w:w="1180" w:type="dxa"/>
            <w:vAlign w:val="top"/>
          </w:tcPr>
          <w:p>
            <w:pPr>
              <w:spacing w:before="0" w:after="0" w:line="408" w:lineRule="exact"/>
              <w:ind w:left="0" w:right="0" w:firstLine="0"/>
              <w:jc w:val="right"/>
            </w:pPr>
            <w:r>
              <w:rPr>
                <w:rFonts w:ascii="Times New Roman" w:hAnsi="Times New Roman"/>
                <w:strike/>
                <w:sz w:val="20"/>
              </w:rPr>
              <w:t xml:space="preserve">$ 6,000</w:t>
            </w:r>
          </w:p>
        </w:tc>
        <w:tc>
          <w:tcPr>
            <w:tcW w:w="260" w:type="dxa"/>
            <w:vAlign w:val="top"/>
          </w:tcPr>
          <w:p>
            <w:pPr>
              <w:spacing w:before="0" w:after="0" w:line="408" w:lineRule="exact"/>
              <w:ind w:left="0" w:right="0" w:firstLine="0"/>
              <w:jc w:val="right"/>
            </w:pPr>
          </w:p>
        </w:tc>
      </w:tr>
      <w:tr>
        <w:tc>
          <w:tcPr>
            <w:tcW w:w="1440" w:type="dxa"/>
            <w:vAlign w:val="top"/>
          </w:tcPr>
          <w:p>
            <w:pPr>
              <w:spacing w:before="0" w:after="0" w:line="408" w:lineRule="exact"/>
              <w:ind w:left="0" w:right="0" w:firstLine="0"/>
              <w:jc w:val="left"/>
            </w:pPr>
            <w:r>
              <w:rPr>
                <w:rFonts w:ascii="Times New Roman" w:hAnsi="Times New Roman"/>
                <w:strike/>
                <w:sz w:val="20"/>
              </w:rPr>
              <w:t xml:space="preserve">11</w:t>
            </w:r>
          </w:p>
        </w:tc>
        <w:tc>
          <w:tcPr>
            <w:tcW w:w="1980" w:type="dxa"/>
            <w:vAlign w:val="top"/>
          </w:tcPr>
          <w:p>
            <w:pPr>
              <w:spacing w:before="0" w:after="0" w:line="408" w:lineRule="exact"/>
              <w:ind w:left="0" w:right="0" w:firstLine="0"/>
              <w:jc w:val="left"/>
            </w:pPr>
            <w:r>
              <w:rPr>
                <w:rFonts w:ascii="Times New Roman" w:hAnsi="Times New Roman"/>
                <w:strike/>
                <w:sz w:val="20"/>
              </w:rPr>
              <w:t xml:space="preserve">250 to 350</w:t>
            </w:r>
          </w:p>
        </w:tc>
        <w:tc>
          <w:tcPr>
            <w:tcW w:w="1180" w:type="dxa"/>
            <w:vAlign w:val="top"/>
          </w:tcPr>
          <w:p>
            <w:pPr>
              <w:spacing w:before="0" w:after="0" w:line="408" w:lineRule="exact"/>
              <w:ind w:left="0" w:right="0" w:firstLine="0"/>
              <w:jc w:val="right"/>
            </w:pPr>
            <w:r>
              <w:rPr>
                <w:rFonts w:ascii="Times New Roman" w:hAnsi="Times New Roman"/>
                <w:strike/>
                <w:sz w:val="20"/>
              </w:rPr>
              <w:t xml:space="preserve">$ 9,000</w:t>
            </w:r>
          </w:p>
        </w:tc>
        <w:tc>
          <w:tcPr>
            <w:tcW w:w="260" w:type="dxa"/>
            <w:vAlign w:val="top"/>
          </w:tcPr>
          <w:p>
            <w:pPr>
              <w:spacing w:before="0" w:after="0" w:line="408" w:lineRule="exact"/>
              <w:ind w:left="0" w:right="0" w:firstLine="0"/>
              <w:jc w:val="right"/>
            </w:pPr>
          </w:p>
        </w:tc>
      </w:tr>
      <w:tr>
        <w:tc>
          <w:tcPr>
            <w:tcW w:w="1440" w:type="dxa"/>
            <w:vAlign w:val="top"/>
          </w:tcPr>
          <w:p>
            <w:pPr>
              <w:spacing w:before="0" w:after="0" w:line="408" w:lineRule="exact"/>
              <w:ind w:left="0" w:right="0" w:firstLine="0"/>
              <w:jc w:val="left"/>
            </w:pPr>
            <w:r>
              <w:rPr>
                <w:rFonts w:ascii="Times New Roman" w:hAnsi="Times New Roman"/>
                <w:strike/>
                <w:sz w:val="20"/>
              </w:rPr>
              <w:t xml:space="preserve">12</w:t>
            </w:r>
          </w:p>
        </w:tc>
        <w:tc>
          <w:tcPr>
            <w:tcW w:w="1980" w:type="dxa"/>
            <w:vAlign w:val="top"/>
          </w:tcPr>
          <w:p>
            <w:pPr>
              <w:spacing w:before="0" w:after="0" w:line="408" w:lineRule="exact"/>
              <w:ind w:left="0" w:right="0" w:firstLine="0"/>
              <w:jc w:val="left"/>
            </w:pPr>
            <w:r>
              <w:rPr>
                <w:rFonts w:ascii="Times New Roman" w:hAnsi="Times New Roman"/>
                <w:strike/>
                <w:sz w:val="20"/>
              </w:rPr>
              <w:t xml:space="preserve">350 to 450</w:t>
            </w:r>
          </w:p>
        </w:tc>
        <w:tc>
          <w:tcPr>
            <w:tcW w:w="1180" w:type="dxa"/>
            <w:vAlign w:val="top"/>
          </w:tcPr>
          <w:p>
            <w:pPr>
              <w:spacing w:before="0" w:after="0" w:line="408" w:lineRule="exact"/>
              <w:ind w:left="0" w:right="0" w:firstLine="0"/>
              <w:jc w:val="right"/>
            </w:pPr>
            <w:r>
              <w:rPr>
                <w:rFonts w:ascii="Times New Roman" w:hAnsi="Times New Roman"/>
                <w:strike/>
                <w:sz w:val="20"/>
              </w:rPr>
              <w:t xml:space="preserve">$12,000</w:t>
            </w:r>
          </w:p>
        </w:tc>
        <w:tc>
          <w:tcPr>
            <w:tcW w:w="260" w:type="dxa"/>
            <w:vAlign w:val="top"/>
          </w:tcPr>
          <w:p>
            <w:pPr>
              <w:spacing w:before="0" w:after="0" w:line="408" w:lineRule="exact"/>
              <w:ind w:left="0" w:right="0" w:firstLine="0"/>
              <w:jc w:val="right"/>
            </w:pPr>
          </w:p>
        </w:tc>
      </w:tr>
      <w:tr>
        <w:tc>
          <w:tcPr>
            <w:tcW w:w="1440" w:type="dxa"/>
            <w:vAlign w:val="top"/>
          </w:tcPr>
          <w:p>
            <w:pPr>
              <w:spacing w:before="0" w:after="0" w:line="408" w:lineRule="exact"/>
              <w:ind w:left="0" w:right="0" w:firstLine="0"/>
              <w:jc w:val="left"/>
            </w:pPr>
            <w:r>
              <w:rPr>
                <w:rFonts w:ascii="Times New Roman" w:hAnsi="Times New Roman"/>
                <w:strike/>
                <w:sz w:val="20"/>
              </w:rPr>
              <w:t xml:space="preserve">13</w:t>
            </w:r>
          </w:p>
        </w:tc>
        <w:tc>
          <w:tcPr>
            <w:tcW w:w="1980" w:type="dxa"/>
            <w:vAlign w:val="top"/>
          </w:tcPr>
          <w:p>
            <w:pPr>
              <w:spacing w:before="0" w:after="0" w:line="408" w:lineRule="exact"/>
              <w:ind w:left="0" w:right="0" w:firstLine="0"/>
              <w:jc w:val="left"/>
            </w:pPr>
            <w:r>
              <w:rPr>
                <w:rFonts w:ascii="Times New Roman" w:hAnsi="Times New Roman"/>
                <w:strike/>
                <w:sz w:val="20"/>
              </w:rPr>
              <w:t xml:space="preserve">450 to 625</w:t>
            </w:r>
          </w:p>
        </w:tc>
        <w:tc>
          <w:tcPr>
            <w:tcW w:w="1180" w:type="dxa"/>
            <w:vAlign w:val="top"/>
          </w:tcPr>
          <w:p>
            <w:pPr>
              <w:spacing w:before="0" w:after="0" w:line="408" w:lineRule="exact"/>
              <w:ind w:left="0" w:right="0" w:firstLine="0"/>
              <w:jc w:val="right"/>
            </w:pPr>
            <w:r>
              <w:rPr>
                <w:rFonts w:ascii="Times New Roman" w:hAnsi="Times New Roman"/>
                <w:strike/>
                <w:sz w:val="20"/>
              </w:rPr>
              <w:t xml:space="preserve">$15,000</w:t>
            </w:r>
          </w:p>
        </w:tc>
        <w:tc>
          <w:tcPr>
            <w:tcW w:w="260" w:type="dxa"/>
            <w:vAlign w:val="top"/>
          </w:tcPr>
          <w:p>
            <w:pPr>
              <w:spacing w:before="0" w:after="0" w:line="408" w:lineRule="exact"/>
              <w:ind w:left="0" w:right="0" w:firstLine="0"/>
              <w:jc w:val="right"/>
            </w:pPr>
          </w:p>
        </w:tc>
      </w:tr>
      <w:tr>
        <w:tc>
          <w:tcPr>
            <w:tcW w:w="1440" w:type="dxa"/>
            <w:vAlign w:val="top"/>
          </w:tcPr>
          <w:p>
            <w:pPr>
              <w:spacing w:before="0" w:after="0" w:line="408" w:lineRule="exact"/>
              <w:ind w:left="0" w:right="0" w:firstLine="0"/>
              <w:jc w:val="left"/>
            </w:pPr>
            <w:r>
              <w:rPr>
                <w:rFonts w:ascii="Times New Roman" w:hAnsi="Times New Roman"/>
                <w:strike/>
                <w:sz w:val="20"/>
              </w:rPr>
              <w:t xml:space="preserve">14</w:t>
            </w:r>
          </w:p>
        </w:tc>
        <w:tc>
          <w:tcPr>
            <w:tcW w:w="1980" w:type="dxa"/>
            <w:vAlign w:val="top"/>
          </w:tcPr>
          <w:p>
            <w:pPr>
              <w:spacing w:before="0" w:after="0" w:line="408" w:lineRule="exact"/>
              <w:ind w:left="0" w:right="0" w:firstLine="0"/>
              <w:jc w:val="left"/>
            </w:pPr>
            <w:r>
              <w:rPr>
                <w:rFonts w:ascii="Times New Roman" w:hAnsi="Times New Roman"/>
                <w:strike/>
                <w:sz w:val="20"/>
              </w:rPr>
              <w:t xml:space="preserve">625 to 875</w:t>
            </w:r>
          </w:p>
        </w:tc>
        <w:tc>
          <w:tcPr>
            <w:tcW w:w="1180" w:type="dxa"/>
            <w:vAlign w:val="top"/>
          </w:tcPr>
          <w:p>
            <w:pPr>
              <w:spacing w:before="0" w:after="0" w:line="408" w:lineRule="exact"/>
              <w:ind w:left="0" w:right="0" w:firstLine="0"/>
              <w:jc w:val="right"/>
            </w:pPr>
            <w:r>
              <w:rPr>
                <w:rFonts w:ascii="Times New Roman" w:hAnsi="Times New Roman"/>
                <w:strike/>
                <w:sz w:val="20"/>
              </w:rPr>
              <w:t xml:space="preserve">$22,500</w:t>
            </w:r>
          </w:p>
        </w:tc>
        <w:tc>
          <w:tcPr>
            <w:tcW w:w="260" w:type="dxa"/>
            <w:vAlign w:val="top"/>
          </w:tcPr>
          <w:p>
            <w:pPr>
              <w:spacing w:before="0" w:after="0" w:line="408" w:lineRule="exact"/>
              <w:ind w:left="0" w:right="0" w:firstLine="0"/>
              <w:jc w:val="right"/>
            </w:pPr>
          </w:p>
        </w:tc>
      </w:tr>
      <w:tr>
        <w:tc>
          <w:tcPr>
            <w:tcW w:w="1440" w:type="dxa"/>
            <w:vAlign w:val="top"/>
          </w:tcPr>
          <w:p>
            <w:pPr>
              <w:spacing w:before="0" w:after="0" w:line="408" w:lineRule="exact"/>
              <w:ind w:left="0" w:right="0" w:firstLine="0"/>
              <w:jc w:val="left"/>
            </w:pPr>
            <w:r>
              <w:rPr>
                <w:rFonts w:ascii="Times New Roman" w:hAnsi="Times New Roman"/>
                <w:strike/>
                <w:sz w:val="20"/>
              </w:rPr>
              <w:t xml:space="preserve">15</w:t>
            </w:r>
          </w:p>
        </w:tc>
        <w:tc>
          <w:tcPr>
            <w:tcW w:w="1980" w:type="dxa"/>
            <w:vAlign w:val="top"/>
          </w:tcPr>
          <w:p>
            <w:pPr>
              <w:spacing w:before="0" w:after="0" w:line="408" w:lineRule="exact"/>
              <w:ind w:left="0" w:right="0" w:firstLine="0"/>
              <w:jc w:val="left"/>
            </w:pPr>
            <w:r>
              <w:rPr>
                <w:rFonts w:ascii="Times New Roman" w:hAnsi="Times New Roman"/>
                <w:strike/>
                <w:sz w:val="20"/>
              </w:rPr>
              <w:t xml:space="preserve">875 to 1125</w:t>
            </w:r>
          </w:p>
        </w:tc>
        <w:tc>
          <w:tcPr>
            <w:tcW w:w="1180" w:type="dxa"/>
            <w:vAlign w:val="top"/>
          </w:tcPr>
          <w:p>
            <w:pPr>
              <w:spacing w:before="0" w:after="0" w:line="408" w:lineRule="exact"/>
              <w:ind w:left="0" w:right="0" w:firstLine="0"/>
              <w:jc w:val="right"/>
            </w:pPr>
            <w:r>
              <w:rPr>
                <w:rFonts w:ascii="Times New Roman" w:hAnsi="Times New Roman"/>
                <w:strike/>
                <w:sz w:val="20"/>
              </w:rPr>
              <w:t xml:space="preserve">$30,000</w:t>
            </w:r>
          </w:p>
        </w:tc>
        <w:tc>
          <w:tcPr>
            <w:tcW w:w="260" w:type="dxa"/>
            <w:vAlign w:val="top"/>
          </w:tcPr>
          <w:p>
            <w:pPr>
              <w:spacing w:before="0" w:after="0" w:line="408" w:lineRule="exact"/>
              <w:ind w:left="0" w:right="0" w:firstLine="0"/>
              <w:jc w:val="right"/>
            </w:pPr>
          </w:p>
        </w:tc>
      </w:tr>
      <w:tr>
        <w:tc>
          <w:tcPr>
            <w:tcW w:w="1440" w:type="dxa"/>
            <w:vAlign w:val="top"/>
          </w:tcPr>
          <w:p>
            <w:pPr>
              <w:spacing w:before="0" w:after="0" w:line="408" w:lineRule="exact"/>
              <w:ind w:left="0" w:right="0" w:firstLine="0"/>
              <w:jc w:val="left"/>
            </w:pPr>
            <w:r>
              <w:rPr>
                <w:rFonts w:ascii="Times New Roman" w:hAnsi="Times New Roman"/>
                <w:strike/>
                <w:sz w:val="20"/>
              </w:rPr>
              <w:t xml:space="preserve">16</w:t>
            </w:r>
          </w:p>
        </w:tc>
        <w:tc>
          <w:tcPr>
            <w:tcW w:w="1980" w:type="dxa"/>
            <w:vAlign w:val="top"/>
          </w:tcPr>
          <w:p>
            <w:pPr>
              <w:spacing w:before="0" w:after="0" w:line="408" w:lineRule="exact"/>
              <w:ind w:left="0" w:right="0" w:firstLine="0"/>
              <w:jc w:val="left"/>
            </w:pPr>
            <w:r>
              <w:rPr>
                <w:rFonts w:ascii="Times New Roman" w:hAnsi="Times New Roman"/>
                <w:strike/>
                <w:sz w:val="20"/>
              </w:rPr>
              <w:t xml:space="preserve">Over 1125</w:t>
            </w:r>
          </w:p>
        </w:tc>
        <w:tc>
          <w:tcPr>
            <w:tcW w:w="1180" w:type="dxa"/>
            <w:vAlign w:val="top"/>
          </w:tcPr>
          <w:p>
            <w:pPr>
              <w:spacing w:before="0" w:after="0" w:line="408" w:lineRule="exact"/>
              <w:ind w:left="0" w:right="0" w:firstLine="0"/>
              <w:jc w:val="right"/>
            </w:pPr>
            <w:r>
              <w:rPr>
                <w:rFonts w:ascii="Times New Roman" w:hAnsi="Times New Roman"/>
                <w:strike/>
                <w:sz w:val="20"/>
              </w:rPr>
              <w:t xml:space="preserve">$35,000</w:t>
            </w:r>
            <w:r>
              <w:t>))</w:t>
            </w:r>
          </w:p>
        </w:tc>
        <w:tc>
          <w:tcPr>
            <w:tcW w:w="260" w:type="dxa"/>
            <w:vAlign w:val="top"/>
          </w:tcPr>
          <w:p>
            <w:pPr>
              <w:spacing w:before="0" w:after="0" w:line="408" w:lineRule="exact"/>
              <w:ind w:left="0" w:right="0" w:firstLine="0"/>
              <w:jc w:val="right"/>
            </w:pPr>
          </w:p>
          <w:p>
            <w:pPr>
              <w:spacing w:before="0" w:after="0" w:line="408" w:lineRule="exact"/>
              <w:ind w:left="0" w:right="0" w:firstLine="0"/>
              <w:jc w:val="right"/>
            </w:pPr>
          </w:p>
        </w:tc>
      </w:tr>
    </w:tbl>
    <w:p>
      <w:pPr>
        <w:spacing w:before="120" w:after="0" w:line="408" w:lineRule="exact"/>
        <w:ind w:left="0" w:right="0" w:firstLine="0"/>
        <w:jc w:val="left"/>
      </w:pPr>
      <w:r>
        <w:rPr>
          <w:u w:val="single"/>
        </w:rPr>
        <w:t xml:space="preserve">four cents per ton produced.</w:t>
      </w:r>
    </w:p>
    <w:p>
      <w:pPr>
        <w:spacing w:before="0" w:after="0" w:line="408" w:lineRule="exact"/>
        <w:ind w:left="0" w:right="0" w:firstLine="576"/>
        <w:jc w:val="left"/>
      </w:pPr>
      <w:r>
        <w:rPr/>
        <w:t xml:space="preserve">The commission may develop by rule formulas for converting other units of measure to </w:t>
      </w:r>
      <w:r>
        <w:t>((</w:t>
      </w:r>
      <w:r>
        <w:rPr>
          <w:strike/>
        </w:rPr>
        <w:t xml:space="preserve">thousands of</w:t>
      </w:r>
      <w:r>
        <w:t>))</w:t>
      </w:r>
      <w:r>
        <w:rPr/>
        <w:t xml:space="preserve"> tons of production for determining the appropriate production </w:t>
      </w:r>
      <w:r>
        <w:t>((</w:t>
      </w:r>
      <w:r>
        <w:rPr>
          <w:strike/>
        </w:rPr>
        <w:t xml:space="preserve">category</w:t>
      </w:r>
      <w:r>
        <w:t>))</w:t>
      </w:r>
      <w:r>
        <w:rPr/>
        <w:t xml:space="preserve"> </w:t>
      </w:r>
      <w:r>
        <w:rPr>
          <w:u w:val="single"/>
        </w:rPr>
        <w:t xml:space="preserve">per calendar quarter</w:t>
      </w:r>
      <w:r>
        <w:rPr/>
        <w:t xml:space="preserve">. The assessment shall be calculated based upon calendar quarters </w:t>
      </w:r>
      <w:r>
        <w:t>((</w:t>
      </w:r>
      <w:r>
        <w:rPr>
          <w:strike/>
        </w:rPr>
        <w:t xml:space="preserve">with the first assessment period beginning July 1, 1991</w:t>
      </w:r>
      <w:r>
        <w:t>))</w:t>
      </w:r>
      <w:r>
        <w:rPr/>
        <w:t xml:space="preserve">. </w:t>
      </w:r>
      <w:r>
        <w:rPr>
          <w:u w:val="single"/>
        </w:rPr>
        <w:t xml:space="preserve">Beginning July 1, 2019, and every July 1st thereafter, the assessment must be adjusted to reflect the percentage change in the implicit price deflator for personal consumption expenditures for the United States as published for the most recent twelve-month period by the bureau of economic analysis of the federal department of commerce by September 25th of the year before the assessments are payable.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2018.</w:t>
      </w:r>
    </w:p>
    <w:p/>
    <w:p>
      <w:pPr>
        <w:jc w:val="center"/>
      </w:pPr>
      <w:r>
        <w:rPr>
          <w:b/>
        </w:rPr>
        <w:t>--- END ---</w:t>
      </w:r>
    </w:p>
    <w:sectPr>
      <w:pgNumType w:start="1"/>
      <w:footerReference xmlns:r="http://schemas.openxmlformats.org/officeDocument/2006/relationships" r:id="R67a51965131849c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3c3d6faca14046" /><Relationship Type="http://schemas.openxmlformats.org/officeDocument/2006/relationships/footer" Target="/word/footer.xml" Id="R67a51965131849c9" /></Relationships>
</file>