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0ef6beb2a4bae" /></Relationships>
</file>

<file path=word/document.xml><?xml version="1.0" encoding="utf-8"?>
<w:document xmlns:w="http://schemas.openxmlformats.org/wordprocessingml/2006/main">
  <w:body>
    <w:p>
      <w:r>
        <w:t>H-4556.1</w:t>
      </w:r>
    </w:p>
    <w:p>
      <w:pPr>
        <w:jc w:val="center"/>
      </w:pPr>
      <w:r>
        <w:t>_______________________________________________</w:t>
      </w:r>
    </w:p>
    <w:p/>
    <w:p>
      <w:pPr>
        <w:jc w:val="center"/>
      </w:pPr>
      <w:r>
        <w:rPr>
          <w:b/>
        </w:rPr>
        <w:t>SUBSTITUTE HOUSE BILL 2437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Robinson, Tharinger, Macri, Ryu, Kagi, Pollet, Ormsby, Doglio, Santos, and Tarleton)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investments in affordable and supportive housing;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 The rate of the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by July 1, 2020,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rate authorized under (a) of this subsection by July 1, 2021,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(c) The effective date of a tax imposed under this section must be the first day of a state fiscal year.</w:t>
      </w:r>
    </w:p>
    <w:p>
      <w:pPr>
        <w:spacing w:before="0" w:after="0" w:line="408" w:lineRule="exact"/>
        <w:ind w:left="0" w:right="0" w:firstLine="576"/>
        <w:jc w:val="left"/>
      </w:pPr>
      <w:r>
        <w:rPr/>
        <w:t xml:space="preserve">(d) If a county imposes a tax authorized under (a) of this subsection after a city located in that county has imposed the tax authorized under (b) of this subsection, the county must provide a credit against its tax for the full amount of tax imposed by the city.</w:t>
      </w:r>
    </w:p>
    <w:p>
      <w:pPr>
        <w:spacing w:before="0" w:after="0" w:line="408" w:lineRule="exact"/>
        <w:ind w:left="0" w:right="0" w:firstLine="576"/>
        <w:jc w:val="left"/>
      </w:pPr>
      <w:r>
        <w:rPr/>
        <w:t xml:space="preserve">(e) If a county or city has not imposed the tax under this subsection by July 1, 2023, the county or city may not authorize, fix, and impose the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(3) A county or city imposing a tax under subsection (1) of this section must provide annual matching funds for the purposes in subsection (6) of this section. The matching funds must not be derived from the state-subsidized portion of any state loan or grant, any local tax that is credited against state retail sales and use taxes, or any other state funds. The amount of the matching funds is determined by the rate imposed as follows:</w:t>
      </w:r>
    </w:p>
    <w:p>
      <w:pPr>
        <w:spacing w:before="0" w:after="0" w:line="408" w:lineRule="exact"/>
        <w:ind w:left="0" w:right="0" w:firstLine="576"/>
        <w:jc w:val="left"/>
      </w:pPr>
      <w:r>
        <w:rPr/>
        <w:t xml:space="preserve">(a) If the rate imposed is 0.0125 percent or less, the matching funds must equal at least ten percent of the annual maximum amount of tax distributions as calculated in subsection (4) of this section;</w:t>
      </w:r>
    </w:p>
    <w:p>
      <w:pPr>
        <w:spacing w:before="0" w:after="0" w:line="408" w:lineRule="exact"/>
        <w:ind w:left="0" w:right="0" w:firstLine="576"/>
        <w:jc w:val="left"/>
      </w:pPr>
      <w:r>
        <w:rPr/>
        <w:t xml:space="preserve">(b) If the rate imposed is greater than 0.0125 percent but no more than 0.025 percent, the matching funds must equal at least fifteen percent of the annual maximum amount of tax distributions as calculated in subsection (4) of this section; and</w:t>
      </w:r>
    </w:p>
    <w:p>
      <w:pPr>
        <w:spacing w:before="0" w:after="0" w:line="408" w:lineRule="exact"/>
        <w:ind w:left="0" w:right="0" w:firstLine="576"/>
        <w:jc w:val="left"/>
      </w:pPr>
      <w:r>
        <w:rPr/>
        <w:t xml:space="preserve">(c) If the rate imposed is greater than 0.025 percent, the matching funds must equal at least thirty-five percent of the annual maximum amount of tax distributions as calculated in subsection (4) of this section.</w:t>
      </w:r>
    </w:p>
    <w:p>
      <w:pPr>
        <w:spacing w:before="0" w:after="0" w:line="408" w:lineRule="exact"/>
        <w:ind w:left="0" w:right="0" w:firstLine="576"/>
        <w:jc w:val="left"/>
      </w:pPr>
      <w:r>
        <w:rPr/>
        <w:t xml:space="preserve">(4) By December 31, 2018, or within thirty days of a county or city authorizing the tax under subsection (1) of this section, whichever is later, the department must calculate the maximum amount of tax distributions for each county and city authorizing the tax under subsection (1) of this section as follows:</w:t>
      </w:r>
    </w:p>
    <w:p>
      <w:pPr>
        <w:spacing w:before="0" w:after="0" w:line="408" w:lineRule="exact"/>
        <w:ind w:left="0" w:right="0" w:firstLine="576"/>
        <w:jc w:val="left"/>
      </w:pPr>
      <w:r>
        <w:rPr/>
        <w:t xml:space="preserve">(a) The maximum amount for a county equals the taxable retail sales within the county in state fiscal year 2018 multiplied by the tax rate imposed under subsection (1) of this section. If a county imposes a tax authorized under subsection (1) of this section after a city located in that county has imposed the tax, the taxable retail sales within the city in state fiscal year 2018 must be subtracted from the taxable retail sales within the county for the calculation of the maximum amount.</w:t>
      </w:r>
    </w:p>
    <w:p>
      <w:pPr>
        <w:spacing w:before="0" w:after="0" w:line="408" w:lineRule="exact"/>
        <w:ind w:left="0" w:right="0" w:firstLine="576"/>
        <w:jc w:val="left"/>
      </w:pPr>
      <w:r>
        <w:rPr/>
        <w:t xml:space="preserve">(b) The maximum amount for a city equals the taxable retail sales within the city in state fiscal year 2018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 The moneys collected or bonds issued under this section may only be used for the following purposes:</w:t>
      </w:r>
    </w:p>
    <w:p>
      <w:pPr>
        <w:spacing w:before="0" w:after="0" w:line="408" w:lineRule="exact"/>
        <w:ind w:left="0" w:right="0" w:firstLine="576"/>
        <w:jc w:val="left"/>
      </w:pPr>
      <w:r>
        <w:rPr/>
        <w:t xml:space="preserve">(a) Acquiring, rehabilitating, or constructing affordable housing, which may include new units of affordable housing within an existing structure or facilities providing supportive housing services under RCW 71.24.385;</w:t>
      </w:r>
    </w:p>
    <w:p>
      <w:pPr>
        <w:spacing w:before="0" w:after="0" w:line="408" w:lineRule="exact"/>
        <w:ind w:left="0" w:right="0" w:firstLine="576"/>
        <w:jc w:val="left"/>
      </w:pPr>
      <w:r>
        <w:rPr/>
        <w:t xml:space="preserve">(b) Funding the operations and maintenance costs of new units of affordable or supportive housing; or</w:t>
      </w:r>
    </w:p>
    <w:p>
      <w:pPr>
        <w:spacing w:before="0" w:after="0" w:line="408" w:lineRule="exact"/>
        <w:ind w:left="0" w:right="0" w:firstLine="576"/>
        <w:jc w:val="left"/>
      </w:pPr>
      <w:r>
        <w:rPr/>
        <w:t xml:space="preserve">(c)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 </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housing finance commission on the collection and use of the revenue. The commission must adopt rules prescribing content of such reports. By December 1, 2019, and annually thereafter, and in compliance with RCW 43.01.036, the housing finance commission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b3d3e6714ad747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1ccd517974ecb" /><Relationship Type="http://schemas.openxmlformats.org/officeDocument/2006/relationships/footer" Target="/word/footer.xml" Id="Rb3d3e6714ad7479a" /></Relationships>
</file>